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60" w:lineRule="exact"/>
        <w:jc w:val="center"/>
        <w:rPr>
          <w:rFonts w:eastAsia="方正小标宋_GBK"/>
          <w:sz w:val="44"/>
          <w:szCs w:val="44"/>
        </w:rPr>
      </w:pPr>
      <w:r>
        <w:rPr>
          <w:rFonts w:eastAsia="方正小标宋_GBK"/>
          <w:sz w:val="44"/>
          <w:szCs w:val="44"/>
        </w:rPr>
        <w:t>广州市生态环境局天河环境监测站实验室</w:t>
      </w:r>
    </w:p>
    <w:p>
      <w:pPr>
        <w:spacing w:before="156" w:beforeLines="50" w:after="156" w:afterLines="50" w:line="560" w:lineRule="exact"/>
        <w:jc w:val="center"/>
        <w:rPr>
          <w:rFonts w:eastAsia="方正小标宋_GBK"/>
          <w:sz w:val="44"/>
          <w:szCs w:val="44"/>
        </w:rPr>
      </w:pPr>
      <w:r>
        <w:rPr>
          <w:rFonts w:eastAsia="方正小标宋_GBK"/>
          <w:sz w:val="44"/>
          <w:szCs w:val="44"/>
        </w:rPr>
        <w:t>物资采购及仪器设备购置</w:t>
      </w:r>
    </w:p>
    <w:p>
      <w:pPr>
        <w:spacing w:before="156" w:beforeLines="50" w:after="156" w:afterLines="50" w:line="560" w:lineRule="exact"/>
        <w:jc w:val="center"/>
        <w:rPr>
          <w:rFonts w:eastAsia="方正小标宋_GBK"/>
          <w:sz w:val="44"/>
          <w:szCs w:val="44"/>
        </w:rPr>
      </w:pPr>
      <w:r>
        <w:rPr>
          <w:rFonts w:eastAsia="方正小标宋_GBK"/>
          <w:sz w:val="44"/>
          <w:szCs w:val="44"/>
        </w:rPr>
        <w:t>项目需求书</w:t>
      </w:r>
    </w:p>
    <w:p>
      <w:pPr>
        <w:spacing w:line="560" w:lineRule="exact"/>
        <w:ind w:firstLine="640" w:firstLineChars="200"/>
        <w:rPr>
          <w:rFonts w:eastAsia="黑体"/>
          <w:sz w:val="32"/>
          <w:szCs w:val="32"/>
        </w:rPr>
      </w:pPr>
      <w:r>
        <w:rPr>
          <w:rFonts w:hAnsi="黑体" w:eastAsia="黑体"/>
          <w:sz w:val="32"/>
          <w:szCs w:val="32"/>
        </w:rPr>
        <w:t>一、项目</w:t>
      </w:r>
      <w:r>
        <w:rPr>
          <w:rFonts w:hint="eastAsia" w:hAnsi="黑体" w:eastAsia="黑体"/>
          <w:sz w:val="32"/>
          <w:szCs w:val="32"/>
        </w:rPr>
        <w:t>概况</w:t>
      </w:r>
    </w:p>
    <w:p>
      <w:pPr>
        <w:spacing w:line="56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项目名称：广州市生态环境局</w:t>
      </w:r>
      <w:r>
        <w:rPr>
          <w:rFonts w:hint="eastAsia" w:eastAsia="仿宋_GB2312"/>
          <w:sz w:val="32"/>
          <w:szCs w:val="32"/>
        </w:rPr>
        <w:t>天河环境监测站</w:t>
      </w:r>
      <w:r>
        <w:rPr>
          <w:rFonts w:eastAsia="仿宋_GB2312"/>
          <w:sz w:val="32"/>
          <w:szCs w:val="32"/>
        </w:rPr>
        <w:t>实验室物资采购</w:t>
      </w:r>
      <w:r>
        <w:rPr>
          <w:rFonts w:hint="eastAsia" w:eastAsia="仿宋_GB2312"/>
          <w:sz w:val="32"/>
          <w:szCs w:val="32"/>
        </w:rPr>
        <w:t>及仪器设备购置</w:t>
      </w:r>
      <w:r>
        <w:rPr>
          <w:rFonts w:eastAsia="仿宋_GB2312"/>
          <w:sz w:val="32"/>
          <w:szCs w:val="32"/>
        </w:rPr>
        <w:t>项目</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采购方式：</w:t>
      </w:r>
      <w:r>
        <w:rPr>
          <w:rFonts w:hint="eastAsia" w:eastAsia="仿宋_GB2312"/>
          <w:sz w:val="32"/>
          <w:szCs w:val="32"/>
          <w:lang w:eastAsia="zh-CN"/>
        </w:rPr>
        <w:t>询价（成立询价小组，从质量和服务均能满足采购文件实质性相应要求的供应商中，按照报价由低到高的顺序提出</w:t>
      </w:r>
      <w:r>
        <w:rPr>
          <w:rFonts w:hint="eastAsia" w:eastAsia="仿宋_GB2312"/>
          <w:sz w:val="32"/>
          <w:szCs w:val="32"/>
          <w:lang w:val="en-US" w:eastAsia="zh-CN"/>
        </w:rPr>
        <w:t>3家以上供应商作为成交候选人，采用最低价中标原则确认供应商</w:t>
      </w:r>
      <w:r>
        <w:rPr>
          <w:rFonts w:hint="eastAsia" w:eastAsia="仿宋_GB2312"/>
          <w:sz w:val="32"/>
          <w:szCs w:val="32"/>
          <w:lang w:eastAsia="zh-CN"/>
        </w:rPr>
        <w:t>）</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预算金额：人民币：</w:t>
      </w:r>
      <w:r>
        <w:rPr>
          <w:rFonts w:hint="eastAsia" w:eastAsia="仿宋_GB2312"/>
          <w:sz w:val="32"/>
          <w:szCs w:val="32"/>
          <w:lang w:val="en-US" w:eastAsia="zh-CN"/>
        </w:rPr>
        <w:t>7</w:t>
      </w:r>
      <w:r>
        <w:rPr>
          <w:rFonts w:hint="eastAsia" w:eastAsia="仿宋_GB2312"/>
          <w:sz w:val="32"/>
          <w:szCs w:val="32"/>
        </w:rPr>
        <w:t>0000</w:t>
      </w:r>
      <w:r>
        <w:rPr>
          <w:rFonts w:eastAsia="仿宋_GB2312"/>
          <w:sz w:val="32"/>
          <w:szCs w:val="32"/>
        </w:rPr>
        <w:t>.00元</w:t>
      </w:r>
      <w:r>
        <w:rPr>
          <w:rFonts w:hint="eastAsia" w:eastAsia="仿宋_GB2312"/>
          <w:sz w:val="32"/>
          <w:szCs w:val="32"/>
        </w:rPr>
        <w:t>（</w:t>
      </w:r>
      <w:r>
        <w:rPr>
          <w:rFonts w:hint="eastAsia" w:eastAsia="仿宋_GB2312"/>
          <w:color w:val="102401"/>
          <w:kern w:val="0"/>
          <w:sz w:val="32"/>
          <w:szCs w:val="32"/>
        </w:rPr>
        <w:t>设备检定/校准所产生的费用以及验收、培训所产生的所有费用包含在响应报价内</w:t>
      </w:r>
      <w:r>
        <w:rPr>
          <w:rFonts w:hint="eastAsia" w:eastAsia="仿宋_GB2312"/>
          <w:sz w:val="32"/>
          <w:szCs w:val="32"/>
        </w:rPr>
        <w:t>）。</w:t>
      </w:r>
    </w:p>
    <w:p>
      <w:pPr>
        <w:spacing w:line="56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采购需求：</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391"/>
        <w:gridCol w:w="1623"/>
        <w:gridCol w:w="777"/>
        <w:gridCol w:w="1459"/>
        <w:gridCol w:w="121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41" w:type="dxa"/>
            <w:vAlign w:val="center"/>
          </w:tcPr>
          <w:p>
            <w:pPr>
              <w:spacing w:line="400" w:lineRule="exact"/>
              <w:jc w:val="center"/>
              <w:rPr>
                <w:rFonts w:eastAsia="仿宋_GB2312"/>
                <w:sz w:val="24"/>
                <w:szCs w:val="24"/>
              </w:rPr>
            </w:pPr>
            <w:r>
              <w:rPr>
                <w:rFonts w:eastAsia="仿宋_GB2312"/>
                <w:sz w:val="24"/>
                <w:szCs w:val="24"/>
              </w:rPr>
              <w:t>序号</w:t>
            </w:r>
          </w:p>
        </w:tc>
        <w:tc>
          <w:tcPr>
            <w:tcW w:w="1391" w:type="dxa"/>
            <w:vAlign w:val="center"/>
          </w:tcPr>
          <w:p>
            <w:pPr>
              <w:spacing w:line="400" w:lineRule="exact"/>
              <w:jc w:val="center"/>
              <w:rPr>
                <w:rFonts w:eastAsia="仿宋_GB2312"/>
                <w:sz w:val="24"/>
                <w:szCs w:val="24"/>
              </w:rPr>
            </w:pPr>
            <w:r>
              <w:rPr>
                <w:rFonts w:hint="eastAsia" w:eastAsia="仿宋_GB2312"/>
                <w:sz w:val="24"/>
                <w:szCs w:val="24"/>
              </w:rPr>
              <w:t>项目</w:t>
            </w:r>
          </w:p>
          <w:p>
            <w:pPr>
              <w:spacing w:line="400" w:lineRule="exact"/>
              <w:jc w:val="center"/>
              <w:rPr>
                <w:rFonts w:eastAsia="仿宋_GB2312"/>
                <w:sz w:val="24"/>
                <w:szCs w:val="24"/>
              </w:rPr>
            </w:pPr>
            <w:r>
              <w:rPr>
                <w:rFonts w:eastAsia="仿宋_GB2312"/>
                <w:sz w:val="24"/>
                <w:szCs w:val="24"/>
              </w:rPr>
              <w:t>名称</w:t>
            </w:r>
          </w:p>
        </w:tc>
        <w:tc>
          <w:tcPr>
            <w:tcW w:w="1623" w:type="dxa"/>
            <w:vAlign w:val="center"/>
          </w:tcPr>
          <w:p>
            <w:pPr>
              <w:spacing w:line="400" w:lineRule="exact"/>
              <w:jc w:val="center"/>
              <w:rPr>
                <w:rFonts w:eastAsia="仿宋_GB2312"/>
                <w:sz w:val="24"/>
                <w:szCs w:val="24"/>
              </w:rPr>
            </w:pPr>
            <w:r>
              <w:rPr>
                <w:rFonts w:hint="eastAsia" w:eastAsia="仿宋_GB2312"/>
                <w:sz w:val="24"/>
                <w:szCs w:val="24"/>
              </w:rPr>
              <w:t>项目</w:t>
            </w:r>
          </w:p>
          <w:p>
            <w:pPr>
              <w:spacing w:line="400" w:lineRule="exact"/>
              <w:jc w:val="center"/>
              <w:rPr>
                <w:rFonts w:eastAsia="仿宋_GB2312"/>
                <w:sz w:val="24"/>
                <w:szCs w:val="24"/>
              </w:rPr>
            </w:pPr>
            <w:r>
              <w:rPr>
                <w:rFonts w:hint="eastAsia" w:eastAsia="仿宋_GB2312"/>
                <w:sz w:val="24"/>
                <w:szCs w:val="24"/>
              </w:rPr>
              <w:t>内容</w:t>
            </w:r>
          </w:p>
        </w:tc>
        <w:tc>
          <w:tcPr>
            <w:tcW w:w="777" w:type="dxa"/>
            <w:vAlign w:val="center"/>
          </w:tcPr>
          <w:p>
            <w:pPr>
              <w:spacing w:line="400" w:lineRule="exact"/>
              <w:jc w:val="center"/>
              <w:rPr>
                <w:rFonts w:eastAsia="仿宋_GB2312"/>
                <w:sz w:val="24"/>
                <w:szCs w:val="24"/>
              </w:rPr>
            </w:pPr>
            <w:r>
              <w:rPr>
                <w:rFonts w:eastAsia="仿宋_GB2312"/>
                <w:sz w:val="24"/>
                <w:szCs w:val="24"/>
              </w:rPr>
              <w:t>数量</w:t>
            </w:r>
          </w:p>
        </w:tc>
        <w:tc>
          <w:tcPr>
            <w:tcW w:w="1459" w:type="dxa"/>
            <w:vAlign w:val="center"/>
          </w:tcPr>
          <w:p>
            <w:pPr>
              <w:spacing w:line="400" w:lineRule="exact"/>
              <w:jc w:val="center"/>
              <w:rPr>
                <w:rFonts w:eastAsia="仿宋_GB2312"/>
                <w:sz w:val="24"/>
                <w:szCs w:val="24"/>
              </w:rPr>
            </w:pPr>
            <w:r>
              <w:rPr>
                <w:rFonts w:eastAsia="仿宋_GB2312"/>
                <w:sz w:val="24"/>
                <w:szCs w:val="24"/>
              </w:rPr>
              <w:t>技术规格、参数及要求</w:t>
            </w:r>
          </w:p>
        </w:tc>
        <w:tc>
          <w:tcPr>
            <w:tcW w:w="1210" w:type="dxa"/>
            <w:vAlign w:val="center"/>
          </w:tcPr>
          <w:p>
            <w:pPr>
              <w:spacing w:line="400" w:lineRule="exact"/>
              <w:jc w:val="center"/>
              <w:rPr>
                <w:rFonts w:eastAsia="仿宋_GB2312"/>
                <w:sz w:val="24"/>
                <w:szCs w:val="24"/>
              </w:rPr>
            </w:pPr>
            <w:r>
              <w:rPr>
                <w:rFonts w:eastAsia="仿宋_GB2312"/>
                <w:sz w:val="24"/>
                <w:szCs w:val="24"/>
              </w:rPr>
              <w:t>项目预算</w:t>
            </w:r>
            <w:r>
              <w:rPr>
                <w:rFonts w:hint="eastAsia" w:eastAsia="仿宋_GB2312"/>
                <w:sz w:val="24"/>
                <w:szCs w:val="24"/>
              </w:rPr>
              <w:t>（元）</w:t>
            </w:r>
          </w:p>
        </w:tc>
        <w:tc>
          <w:tcPr>
            <w:tcW w:w="1421" w:type="dxa"/>
            <w:vAlign w:val="center"/>
          </w:tcPr>
          <w:p>
            <w:pPr>
              <w:spacing w:line="400" w:lineRule="exact"/>
              <w:jc w:val="center"/>
              <w:rPr>
                <w:rFonts w:eastAsia="仿宋_GB2312"/>
                <w:sz w:val="24"/>
                <w:szCs w:val="24"/>
              </w:rPr>
            </w:pPr>
            <w:r>
              <w:rPr>
                <w:rFonts w:hint="eastAsia" w:eastAsia="仿宋_GB2312"/>
                <w:sz w:val="24"/>
                <w:szCs w:val="24"/>
              </w:rPr>
              <w:t>预留中小企业份额（%）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41" w:type="dxa"/>
            <w:vAlign w:val="center"/>
          </w:tcPr>
          <w:p>
            <w:pPr>
              <w:spacing w:line="400" w:lineRule="exact"/>
              <w:jc w:val="center"/>
              <w:rPr>
                <w:rFonts w:eastAsia="仿宋_GB2312"/>
                <w:sz w:val="24"/>
                <w:szCs w:val="24"/>
              </w:rPr>
            </w:pPr>
            <w:r>
              <w:rPr>
                <w:rFonts w:eastAsia="仿宋_GB2312"/>
                <w:sz w:val="24"/>
                <w:szCs w:val="24"/>
              </w:rPr>
              <w:t>1</w:t>
            </w:r>
          </w:p>
        </w:tc>
        <w:tc>
          <w:tcPr>
            <w:tcW w:w="1391" w:type="dxa"/>
            <w:vAlign w:val="center"/>
          </w:tcPr>
          <w:p>
            <w:pPr>
              <w:spacing w:line="360" w:lineRule="exact"/>
              <w:jc w:val="center"/>
              <w:rPr>
                <w:rFonts w:eastAsia="仿宋_GB2312"/>
                <w:sz w:val="24"/>
                <w:szCs w:val="24"/>
              </w:rPr>
            </w:pPr>
            <w:r>
              <w:rPr>
                <w:rFonts w:hint="eastAsia" w:eastAsia="仿宋_GB2312"/>
                <w:sz w:val="24"/>
                <w:szCs w:val="24"/>
              </w:rPr>
              <w:t>实验室物资采购及仪器设备购置</w:t>
            </w:r>
          </w:p>
        </w:tc>
        <w:tc>
          <w:tcPr>
            <w:tcW w:w="1623" w:type="dxa"/>
            <w:vAlign w:val="center"/>
          </w:tcPr>
          <w:p>
            <w:pPr>
              <w:spacing w:line="400" w:lineRule="exact"/>
              <w:jc w:val="center"/>
              <w:rPr>
                <w:rFonts w:eastAsia="仿宋_GB2312"/>
                <w:sz w:val="24"/>
                <w:szCs w:val="24"/>
              </w:rPr>
            </w:pPr>
            <w:r>
              <w:rPr>
                <w:rFonts w:eastAsia="仿宋_GB2312"/>
                <w:sz w:val="24"/>
                <w:szCs w:val="24"/>
              </w:rPr>
              <w:t>实验室</w:t>
            </w:r>
            <w:r>
              <w:rPr>
                <w:rFonts w:hint="eastAsia" w:eastAsia="仿宋_GB2312"/>
                <w:sz w:val="24"/>
                <w:szCs w:val="24"/>
              </w:rPr>
              <w:t>物资采购、仪器购置</w:t>
            </w:r>
          </w:p>
        </w:tc>
        <w:tc>
          <w:tcPr>
            <w:tcW w:w="777" w:type="dxa"/>
            <w:vAlign w:val="center"/>
          </w:tcPr>
          <w:p>
            <w:pPr>
              <w:spacing w:line="400" w:lineRule="exact"/>
              <w:jc w:val="center"/>
              <w:rPr>
                <w:rFonts w:eastAsia="仿宋_GB2312"/>
                <w:sz w:val="24"/>
                <w:szCs w:val="24"/>
              </w:rPr>
            </w:pPr>
            <w:r>
              <w:rPr>
                <w:rFonts w:eastAsia="仿宋_GB2312"/>
                <w:sz w:val="24"/>
                <w:szCs w:val="24"/>
              </w:rPr>
              <w:t>1批</w:t>
            </w:r>
          </w:p>
        </w:tc>
        <w:tc>
          <w:tcPr>
            <w:tcW w:w="1459" w:type="dxa"/>
            <w:vAlign w:val="center"/>
          </w:tcPr>
          <w:p>
            <w:pPr>
              <w:spacing w:line="400" w:lineRule="exact"/>
              <w:jc w:val="center"/>
              <w:rPr>
                <w:rFonts w:eastAsia="仿宋_GB2312"/>
                <w:sz w:val="24"/>
                <w:szCs w:val="24"/>
              </w:rPr>
            </w:pPr>
            <w:r>
              <w:rPr>
                <w:rFonts w:eastAsia="仿宋_GB2312"/>
                <w:sz w:val="24"/>
                <w:szCs w:val="24"/>
              </w:rPr>
              <w:t>详见第二章</w:t>
            </w:r>
            <w:bookmarkStart w:id="0" w:name="_GoBack"/>
            <w:bookmarkEnd w:id="0"/>
          </w:p>
        </w:tc>
        <w:tc>
          <w:tcPr>
            <w:tcW w:w="1210" w:type="dxa"/>
            <w:vAlign w:val="center"/>
          </w:tcPr>
          <w:p>
            <w:pPr>
              <w:spacing w:line="400" w:lineRule="exact"/>
              <w:jc w:val="center"/>
              <w:rPr>
                <w:rFonts w:eastAsia="仿宋_GB2312"/>
                <w:sz w:val="24"/>
                <w:szCs w:val="24"/>
              </w:rPr>
            </w:pPr>
            <w:r>
              <w:rPr>
                <w:rFonts w:hint="eastAsia" w:eastAsia="仿宋_GB2312"/>
                <w:sz w:val="24"/>
                <w:szCs w:val="24"/>
                <w:lang w:val="en-US" w:eastAsia="zh-CN"/>
              </w:rPr>
              <w:t>7</w:t>
            </w:r>
            <w:r>
              <w:rPr>
                <w:rFonts w:hint="eastAsia" w:eastAsia="仿宋_GB2312"/>
                <w:sz w:val="24"/>
                <w:szCs w:val="24"/>
              </w:rPr>
              <w:t>0000</w:t>
            </w:r>
          </w:p>
        </w:tc>
        <w:tc>
          <w:tcPr>
            <w:tcW w:w="1421" w:type="dxa"/>
            <w:vAlign w:val="center"/>
          </w:tcPr>
          <w:p>
            <w:pPr>
              <w:spacing w:line="400" w:lineRule="exact"/>
              <w:jc w:val="center"/>
              <w:rPr>
                <w:rFonts w:hint="default" w:eastAsia="仿宋_GB2312"/>
                <w:sz w:val="24"/>
                <w:szCs w:val="24"/>
                <w:lang w:val="en-US" w:eastAsia="zh-CN"/>
              </w:rPr>
            </w:pPr>
            <w:r>
              <w:rPr>
                <w:rFonts w:hint="eastAsia" w:eastAsia="仿宋_GB2312"/>
                <w:sz w:val="24"/>
                <w:szCs w:val="24"/>
                <w:lang w:val="en-US" w:eastAsia="zh-CN"/>
              </w:rPr>
              <w:t>90</w:t>
            </w:r>
          </w:p>
        </w:tc>
      </w:tr>
    </w:tbl>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二、项目内容及需求</w:t>
      </w:r>
    </w:p>
    <w:p>
      <w:pPr>
        <w:spacing w:line="560" w:lineRule="exact"/>
        <w:ind w:firstLine="640" w:firstLineChars="200"/>
        <w:rPr>
          <w:rFonts w:eastAsia="仿宋_GB2312"/>
          <w:b/>
          <w:bCs/>
          <w:sz w:val="32"/>
          <w:szCs w:val="32"/>
        </w:rPr>
      </w:pPr>
      <w:r>
        <w:rPr>
          <w:rFonts w:eastAsia="楷体_GB2312"/>
          <w:sz w:val="32"/>
          <w:szCs w:val="32"/>
        </w:rPr>
        <w:t>（</w:t>
      </w:r>
      <w:r>
        <w:rPr>
          <w:rFonts w:hint="eastAsia" w:eastAsia="楷体_GB2312"/>
          <w:sz w:val="32"/>
          <w:szCs w:val="32"/>
        </w:rPr>
        <w:t>一</w:t>
      </w:r>
      <w:r>
        <w:rPr>
          <w:rFonts w:eastAsia="楷体_GB2312"/>
          <w:sz w:val="32"/>
          <w:szCs w:val="32"/>
        </w:rPr>
        <w:t>）</w:t>
      </w:r>
      <w:r>
        <w:rPr>
          <w:rFonts w:eastAsia="楷体_GB2312"/>
          <w:b/>
          <w:bCs/>
          <w:sz w:val="32"/>
          <w:szCs w:val="32"/>
        </w:rPr>
        <w:t>实验室耗材采购。</w:t>
      </w:r>
    </w:p>
    <w:p>
      <w:pPr>
        <w:spacing w:line="56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要求投标人所投货物为原制造商制造的全新产品，无污染，无侵权行为、表面无划损、无任何缺陷隐患，在中国境内可依常规安全合法使用。且所投货物符合中华人民共和国国家安全质量标准、环保标准或行业标准。</w:t>
      </w:r>
    </w:p>
    <w:p>
      <w:pPr>
        <w:spacing w:line="560" w:lineRule="exact"/>
        <w:ind w:firstLine="640" w:firstLineChars="200"/>
        <w:rPr>
          <w:rFonts w:eastAsia="仿宋_GB2312"/>
          <w:color w:val="102401"/>
          <w:kern w:val="0"/>
          <w:sz w:val="32"/>
          <w:szCs w:val="32"/>
        </w:rPr>
      </w:pPr>
      <w:r>
        <w:rPr>
          <w:rFonts w:hint="eastAsia" w:eastAsia="仿宋_GB2312"/>
          <w:sz w:val="32"/>
          <w:szCs w:val="32"/>
        </w:rPr>
        <w:t>2.</w:t>
      </w:r>
      <w:r>
        <w:rPr>
          <w:rFonts w:eastAsia="仿宋_GB2312"/>
          <w:color w:val="102401"/>
          <w:kern w:val="0"/>
          <w:sz w:val="32"/>
          <w:szCs w:val="32"/>
        </w:rPr>
        <w:t>所有标准物质必须提供相应的证书且符合要求</w:t>
      </w:r>
      <w:r>
        <w:rPr>
          <w:rFonts w:hint="eastAsia" w:eastAsia="仿宋_GB2312"/>
          <w:color w:val="102401"/>
          <w:kern w:val="0"/>
          <w:sz w:val="32"/>
          <w:szCs w:val="32"/>
        </w:rPr>
        <w:t>。</w:t>
      </w:r>
    </w:p>
    <w:p>
      <w:pPr>
        <w:spacing w:line="560" w:lineRule="exact"/>
        <w:ind w:firstLine="640" w:firstLineChars="200"/>
        <w:rPr>
          <w:rFonts w:hint="eastAsia" w:eastAsia="仿宋_GB2312"/>
          <w:color w:val="102401"/>
          <w:kern w:val="0"/>
          <w:sz w:val="32"/>
          <w:szCs w:val="32"/>
        </w:rPr>
      </w:pPr>
      <w:r>
        <w:rPr>
          <w:rFonts w:hint="eastAsia" w:eastAsia="仿宋_GB2312"/>
          <w:color w:val="102401"/>
          <w:kern w:val="0"/>
          <w:sz w:val="32"/>
          <w:szCs w:val="32"/>
        </w:rPr>
        <w:t>3.实验室耗材需在合同签订后30个工作日到货。</w:t>
      </w:r>
    </w:p>
    <w:p>
      <w:pPr>
        <w:spacing w:line="560" w:lineRule="exact"/>
        <w:ind w:firstLine="640" w:firstLineChars="200"/>
        <w:rPr>
          <w:rFonts w:hint="eastAsia" w:eastAsia="仿宋_GB2312"/>
          <w:color w:val="102401"/>
          <w:kern w:val="0"/>
          <w:sz w:val="32"/>
          <w:szCs w:val="32"/>
          <w:lang w:val="en-US" w:eastAsia="zh-CN"/>
        </w:rPr>
      </w:pPr>
      <w:r>
        <w:rPr>
          <w:rFonts w:hint="eastAsia" w:eastAsia="仿宋_GB2312"/>
          <w:color w:val="102401"/>
          <w:kern w:val="0"/>
          <w:sz w:val="32"/>
          <w:szCs w:val="32"/>
          <w:lang w:val="en-US" w:eastAsia="zh-CN"/>
        </w:rPr>
        <w:t>4.耗材清单：</w:t>
      </w:r>
    </w:p>
    <w:tbl>
      <w:tblPr>
        <w:tblStyle w:val="27"/>
        <w:tblW w:w="88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2475"/>
        <w:gridCol w:w="2325"/>
        <w:gridCol w:w="1275"/>
        <w:gridCol w:w="1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8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常规物质申购单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58"/>
                <w:rFonts w:hAnsi="Times New Roman"/>
                <w:lang w:val="en-US" w:eastAsia="zh-CN" w:bidi="ar"/>
              </w:rPr>
              <w:t>序号</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58"/>
                <w:rFonts w:hAnsi="Times New Roman"/>
                <w:lang w:val="en-US" w:eastAsia="zh-CN" w:bidi="ar"/>
              </w:rPr>
              <w:t>物品名称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sz w:val="24"/>
                <w:szCs w:val="24"/>
                <w:u w:val="none"/>
                <w:lang w:eastAsia="zh-CN"/>
              </w:rPr>
            </w:pPr>
            <w:r>
              <w:rPr>
                <w:rStyle w:val="58"/>
                <w:rFonts w:hint="eastAsia" w:hAnsi="Times New Roman"/>
                <w:lang w:val="en-US" w:eastAsia="zh-CN" w:bidi="ar"/>
              </w:rPr>
              <w:t>规格参数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58"/>
                <w:rFonts w:hAnsi="Times New Roman"/>
                <w:lang w:val="en-US" w:eastAsia="zh-CN" w:bidi="ar"/>
              </w:rPr>
              <w:t>数量</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58"/>
                <w:rFonts w:hAnsi="Times New Roman"/>
                <w:lang w:val="en-US" w:eastAsia="zh-CN" w:bidi="ar"/>
              </w:rPr>
              <w:t>备注</w:t>
            </w:r>
            <w:r>
              <w:rPr>
                <w:rStyle w:val="58"/>
                <w:rFonts w:hint="eastAsia"/>
                <w:lang w:val="en-US" w:eastAsia="zh-CN" w:bidi="ar"/>
              </w:rPr>
              <w:t>（技术参数）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样品标识标签纸</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500张</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移液枪头</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2包</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胶头滴管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3mL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1包</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扳手</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10寸250mm活动扳手</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4个</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氯化钠标准溶液</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硫化物标准溶液</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硫化物标样</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0.5mg/L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N,N-二甲基对苯二胺盐酸</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25g/AR</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酚标准溶液</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酚标样</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1.0mg/L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氯化物标样</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石墨管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4-氨基安替比林</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25g</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土壤标准样品</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100g</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GSB/GBW标物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0.45μm PES针式滤膜</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100个/盒</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一次性注射器</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10mL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100个</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聚四氟乙烯烧杯</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10个</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氮气</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99.9%/10L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3瓶</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1级声级校准器</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皂膜流量计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0-5mL/min</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实验室用口罩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1箱</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活性炭吸附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实验室创伤应急药箱</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浊度计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测量范围0-100NTU；</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示值误差±5%，重复性≤5%；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校准0 20 100 200 400 500 1000NTU</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反光路锥（雪糕筒）</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15个</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spacing w:line="560" w:lineRule="exact"/>
        <w:ind w:firstLine="640" w:firstLineChars="200"/>
        <w:rPr>
          <w:rFonts w:hint="default" w:eastAsia="仿宋_GB2312"/>
          <w:color w:val="102401"/>
          <w:kern w:val="0"/>
          <w:sz w:val="32"/>
          <w:szCs w:val="32"/>
          <w:lang w:val="en-US" w:eastAsia="zh-CN"/>
        </w:rPr>
      </w:pPr>
    </w:p>
    <w:p>
      <w:pPr>
        <w:spacing w:line="560" w:lineRule="exact"/>
        <w:ind w:firstLine="640" w:firstLineChars="200"/>
        <w:rPr>
          <w:rFonts w:hint="default" w:eastAsia="仿宋_GB2312"/>
          <w:color w:val="102401"/>
          <w:kern w:val="0"/>
          <w:sz w:val="32"/>
          <w:szCs w:val="32"/>
          <w:lang w:val="en-US" w:eastAsia="zh-CN"/>
        </w:rPr>
      </w:pPr>
    </w:p>
    <w:p>
      <w:pPr>
        <w:spacing w:line="560" w:lineRule="exact"/>
        <w:ind w:firstLine="640" w:firstLineChars="200"/>
        <w:rPr>
          <w:rFonts w:eastAsia="楷体_GB2312"/>
          <w:b/>
          <w:bCs/>
          <w:sz w:val="32"/>
          <w:szCs w:val="32"/>
        </w:rPr>
      </w:pPr>
      <w:r>
        <w:rPr>
          <w:rFonts w:eastAsia="楷体_GB2312"/>
          <w:sz w:val="32"/>
          <w:szCs w:val="32"/>
        </w:rPr>
        <w:t>（二）</w:t>
      </w:r>
      <w:r>
        <w:rPr>
          <w:rFonts w:eastAsia="楷体_GB2312"/>
          <w:b/>
          <w:bCs/>
          <w:sz w:val="32"/>
          <w:szCs w:val="32"/>
        </w:rPr>
        <w:t>监测仪器设备</w:t>
      </w:r>
      <w:r>
        <w:rPr>
          <w:rFonts w:hint="eastAsia" w:eastAsia="楷体_GB2312"/>
          <w:b/>
          <w:bCs/>
          <w:sz w:val="32"/>
          <w:szCs w:val="32"/>
        </w:rPr>
        <w:t>采购</w:t>
      </w:r>
      <w:r>
        <w:rPr>
          <w:rFonts w:eastAsia="楷体_GB2312"/>
          <w:b/>
          <w:bCs/>
          <w:sz w:val="32"/>
          <w:szCs w:val="32"/>
        </w:rPr>
        <w:t>。</w:t>
      </w:r>
    </w:p>
    <w:p>
      <w:pPr>
        <w:spacing w:line="560" w:lineRule="exact"/>
        <w:ind w:firstLine="643" w:firstLineChars="200"/>
        <w:rPr>
          <w:rFonts w:eastAsia="仿宋_GB2312"/>
          <w:b/>
          <w:bCs/>
          <w:sz w:val="32"/>
          <w:szCs w:val="32"/>
        </w:rPr>
      </w:pPr>
      <w:r>
        <w:rPr>
          <w:rFonts w:eastAsia="仿宋_GB2312"/>
          <w:b/>
          <w:bCs/>
          <w:sz w:val="32"/>
          <w:szCs w:val="32"/>
        </w:rPr>
        <w:t>1.</w:t>
      </w:r>
      <w:r>
        <w:rPr>
          <w:rFonts w:hint="eastAsia" w:eastAsia="仿宋_GB2312"/>
          <w:b/>
          <w:bCs/>
          <w:sz w:val="32"/>
          <w:szCs w:val="32"/>
        </w:rPr>
        <w:t xml:space="preserve"> 1级声级校准器</w:t>
      </w:r>
    </w:p>
    <w:p>
      <w:pPr>
        <w:spacing w:line="560" w:lineRule="exact"/>
        <w:ind w:firstLine="640"/>
        <w:rPr>
          <w:rFonts w:eastAsia="仿宋_GB2312"/>
          <w:sz w:val="32"/>
          <w:szCs w:val="32"/>
        </w:rPr>
      </w:pPr>
      <w:r>
        <w:rPr>
          <w:rFonts w:hint="eastAsia" w:eastAsia="仿宋_GB2312"/>
          <w:sz w:val="32"/>
          <w:szCs w:val="32"/>
        </w:rPr>
        <w:t>1.1符合标准要求</w:t>
      </w:r>
    </w:p>
    <w:p>
      <w:pPr>
        <w:numPr>
          <w:ilvl w:val="0"/>
          <w:numId w:val="1"/>
        </w:numPr>
        <w:spacing w:line="560" w:lineRule="exact"/>
        <w:ind w:left="0" w:firstLine="640" w:firstLineChars="200"/>
        <w:rPr>
          <w:rFonts w:eastAsia="仿宋_GB2312"/>
          <w:sz w:val="32"/>
          <w:szCs w:val="32"/>
        </w:rPr>
      </w:pPr>
      <w:r>
        <w:rPr>
          <w:rFonts w:hint="eastAsia" w:eastAsia="仿宋_GB2312"/>
          <w:sz w:val="32"/>
          <w:szCs w:val="32"/>
        </w:rPr>
        <w:t>满足JJG 188—2017《声级计检定规程》</w:t>
      </w:r>
      <w:r>
        <w:rPr>
          <w:rFonts w:hint="eastAsia" w:eastAsia="仿宋_GB2312"/>
          <w:sz w:val="32"/>
          <w:szCs w:val="32"/>
          <w:lang w:eastAsia="zh-CN"/>
        </w:rPr>
        <w:t>，</w:t>
      </w:r>
      <w:r>
        <w:rPr>
          <w:rFonts w:hint="eastAsia" w:eastAsia="仿宋_GB2312"/>
          <w:sz w:val="32"/>
          <w:szCs w:val="32"/>
        </w:rPr>
        <w:t>满足</w:t>
      </w:r>
      <w:r>
        <w:rPr>
          <w:rFonts w:eastAsia="仿宋_GB2312"/>
          <w:sz w:val="32"/>
          <w:szCs w:val="32"/>
        </w:rPr>
        <w:t>GB/T 15173—2010和IEC 60942:2017对1级声校准器的技术要求</w:t>
      </w:r>
      <w:r>
        <w:rPr>
          <w:rFonts w:hint="eastAsia" w:eastAsia="仿宋_GB2312"/>
          <w:sz w:val="32"/>
          <w:szCs w:val="32"/>
        </w:rPr>
        <w:t>。</w:t>
      </w:r>
    </w:p>
    <w:p>
      <w:pPr>
        <w:spacing w:line="560" w:lineRule="exact"/>
        <w:ind w:firstLine="640"/>
        <w:rPr>
          <w:rFonts w:eastAsia="仿宋_GB2312"/>
          <w:sz w:val="32"/>
          <w:szCs w:val="32"/>
        </w:rPr>
      </w:pPr>
      <w:r>
        <w:rPr>
          <w:rFonts w:hint="eastAsia" w:eastAsia="仿宋_GB2312"/>
          <w:sz w:val="32"/>
          <w:szCs w:val="32"/>
        </w:rPr>
        <w:t>1.2技术参数要求</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频率计权主要指标：</w:t>
      </w:r>
    </w:p>
    <w:p>
      <w:pPr>
        <w:spacing w:line="560" w:lineRule="exact"/>
        <w:ind w:firstLine="640" w:firstLineChars="200"/>
        <w:rPr>
          <w:rFonts w:eastAsia="仿宋_GB2312"/>
          <w:color w:val="auto"/>
          <w:sz w:val="32"/>
          <w:szCs w:val="32"/>
        </w:rPr>
      </w:pPr>
      <w:r>
        <w:rPr>
          <w:rFonts w:hint="eastAsia" w:eastAsia="仿宋_GB2312"/>
          <w:color w:val="auto"/>
          <w:sz w:val="32"/>
          <w:szCs w:val="32"/>
        </w:rPr>
        <w:t>a）参考声压级：94 dB±0.2 dB@1 kHz（以2×</w:t>
      </w:r>
      <w:r>
        <w:rPr>
          <w:rFonts w:hint="eastAsia" w:eastAsia="仿宋_GB2312"/>
          <w:color w:val="auto"/>
          <w:sz w:val="32"/>
          <w:szCs w:val="32"/>
        </w:rPr>
        <w:object>
          <v:shape id="_x0000_i1025" o:spt="75" type="#_x0000_t75" style="height:13.9pt;width:18.75pt;" o:ole="t" filled="f" o:preferrelative="t" stroked="f" coordsize="21600,21600">
            <v:path/>
            <v:fill on="f" focussize="0,0"/>
            <v:stroke on="f" joinstyle="miter"/>
            <v:imagedata r:id="rId6" o:title=""/>
            <o:lock v:ext="edit" aspectratio="t"/>
            <w10:wrap type="none"/>
            <w10:anchorlock/>
          </v:shape>
          <o:OLEObject Type="Embed" ProgID="Equation.KSEE3" ShapeID="_x0000_i1025" DrawAspect="Content" ObjectID="_1468075725" r:id="rId5">
            <o:LockedField>false</o:LockedField>
          </o:OLEObject>
        </w:object>
      </w:r>
      <w:r>
        <w:rPr>
          <w:rFonts w:hint="eastAsia" w:eastAsia="仿宋_GB2312"/>
          <w:color w:val="auto"/>
          <w:sz w:val="32"/>
          <w:szCs w:val="32"/>
        </w:rPr>
        <w:t xml:space="preserve"> Pa为参考）；</w:t>
      </w:r>
    </w:p>
    <w:p>
      <w:pPr>
        <w:spacing w:line="560" w:lineRule="exact"/>
        <w:ind w:firstLine="640" w:firstLineChars="200"/>
        <w:rPr>
          <w:rFonts w:eastAsia="仿宋_GB2312"/>
          <w:color w:val="auto"/>
          <w:sz w:val="32"/>
          <w:szCs w:val="32"/>
        </w:rPr>
      </w:pPr>
      <w:r>
        <w:rPr>
          <w:rFonts w:hint="eastAsia" w:eastAsia="仿宋_GB2312"/>
          <w:color w:val="auto"/>
          <w:sz w:val="32"/>
          <w:szCs w:val="32"/>
        </w:rPr>
        <w:t>b）标称频率： 20 Hz - 16 kHz（按照1/3 OCT步进），频率准确性0.7%；</w:t>
      </w:r>
    </w:p>
    <w:p>
      <w:pPr>
        <w:spacing w:line="560" w:lineRule="exact"/>
        <w:ind w:firstLine="640" w:firstLineChars="200"/>
        <w:rPr>
          <w:rFonts w:eastAsia="仿宋_GB2312"/>
          <w:color w:val="auto"/>
          <w:sz w:val="32"/>
          <w:szCs w:val="32"/>
        </w:rPr>
      </w:pPr>
      <w:r>
        <w:rPr>
          <w:rFonts w:hint="eastAsia" w:eastAsia="仿宋_GB2312"/>
          <w:color w:val="auto"/>
          <w:sz w:val="32"/>
          <w:szCs w:val="32"/>
        </w:rPr>
        <w:t>c）频率响应：</w:t>
      </w:r>
    </w:p>
    <w:tbl>
      <w:tblPr>
        <w:tblStyle w:val="27"/>
        <w:tblW w:w="48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018"/>
        <w:gridCol w:w="1240"/>
        <w:gridCol w:w="1074"/>
        <w:gridCol w:w="1018"/>
        <w:gridCol w:w="1164"/>
        <w:gridCol w:w="1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89" w:type="pct"/>
            <w:vAlign w:val="center"/>
          </w:tcPr>
          <w:p>
            <w:pPr>
              <w:jc w:val="center"/>
              <w:rPr>
                <w:rFonts w:eastAsia="仿宋_GB2312"/>
                <w:color w:val="auto"/>
                <w:sz w:val="24"/>
                <w:szCs w:val="24"/>
              </w:rPr>
            </w:pPr>
            <w:r>
              <w:rPr>
                <w:rFonts w:eastAsia="仿宋_GB2312"/>
                <w:color w:val="auto"/>
                <w:sz w:val="24"/>
                <w:szCs w:val="24"/>
              </w:rPr>
              <w:t>频率(Hz)</w:t>
            </w:r>
          </w:p>
        </w:tc>
        <w:tc>
          <w:tcPr>
            <w:tcW w:w="614" w:type="pct"/>
            <w:vAlign w:val="center"/>
          </w:tcPr>
          <w:p>
            <w:pPr>
              <w:jc w:val="center"/>
              <w:rPr>
                <w:rFonts w:eastAsia="仿宋_GB2312"/>
                <w:color w:val="auto"/>
                <w:sz w:val="24"/>
                <w:szCs w:val="24"/>
              </w:rPr>
            </w:pPr>
            <w:r>
              <w:rPr>
                <w:rFonts w:eastAsia="仿宋_GB2312"/>
                <w:color w:val="auto"/>
                <w:sz w:val="24"/>
                <w:szCs w:val="24"/>
              </w:rPr>
              <w:t>20～25</w:t>
            </w:r>
          </w:p>
        </w:tc>
        <w:tc>
          <w:tcPr>
            <w:tcW w:w="748" w:type="pct"/>
            <w:vAlign w:val="center"/>
          </w:tcPr>
          <w:p>
            <w:pPr>
              <w:jc w:val="center"/>
              <w:rPr>
                <w:rFonts w:eastAsia="仿宋_GB2312"/>
                <w:color w:val="auto"/>
                <w:sz w:val="24"/>
                <w:szCs w:val="24"/>
              </w:rPr>
            </w:pPr>
            <w:r>
              <w:rPr>
                <w:rFonts w:eastAsia="仿宋_GB2312"/>
                <w:color w:val="auto"/>
                <w:sz w:val="24"/>
                <w:szCs w:val="24"/>
              </w:rPr>
              <w:t>31.5～125</w:t>
            </w:r>
          </w:p>
        </w:tc>
        <w:tc>
          <w:tcPr>
            <w:tcW w:w="648" w:type="pct"/>
            <w:vAlign w:val="center"/>
          </w:tcPr>
          <w:p>
            <w:pPr>
              <w:jc w:val="center"/>
              <w:rPr>
                <w:rFonts w:eastAsia="仿宋_GB2312"/>
                <w:color w:val="auto"/>
                <w:sz w:val="24"/>
                <w:szCs w:val="24"/>
              </w:rPr>
            </w:pPr>
            <w:r>
              <w:rPr>
                <w:rFonts w:eastAsia="仿宋_GB2312"/>
                <w:color w:val="auto"/>
                <w:sz w:val="24"/>
                <w:szCs w:val="24"/>
              </w:rPr>
              <w:t>250～1k</w:t>
            </w:r>
          </w:p>
        </w:tc>
        <w:tc>
          <w:tcPr>
            <w:tcW w:w="614" w:type="pct"/>
            <w:vAlign w:val="center"/>
          </w:tcPr>
          <w:p>
            <w:pPr>
              <w:jc w:val="center"/>
              <w:rPr>
                <w:rFonts w:eastAsia="仿宋_GB2312"/>
                <w:color w:val="auto"/>
                <w:sz w:val="24"/>
                <w:szCs w:val="24"/>
              </w:rPr>
            </w:pPr>
            <w:r>
              <w:rPr>
                <w:rFonts w:eastAsia="仿宋_GB2312"/>
                <w:color w:val="auto"/>
                <w:sz w:val="24"/>
                <w:szCs w:val="24"/>
              </w:rPr>
              <w:t>2k～4k</w:t>
            </w:r>
          </w:p>
        </w:tc>
        <w:tc>
          <w:tcPr>
            <w:tcW w:w="702" w:type="pct"/>
            <w:vAlign w:val="center"/>
          </w:tcPr>
          <w:p>
            <w:pPr>
              <w:jc w:val="center"/>
              <w:rPr>
                <w:rFonts w:eastAsia="仿宋_GB2312"/>
                <w:color w:val="auto"/>
                <w:sz w:val="24"/>
                <w:szCs w:val="24"/>
              </w:rPr>
            </w:pPr>
            <w:r>
              <w:rPr>
                <w:rFonts w:eastAsia="仿宋_GB2312"/>
                <w:color w:val="auto"/>
                <w:sz w:val="24"/>
                <w:szCs w:val="24"/>
              </w:rPr>
              <w:t>8k</w:t>
            </w:r>
          </w:p>
        </w:tc>
        <w:tc>
          <w:tcPr>
            <w:tcW w:w="881" w:type="pct"/>
            <w:vAlign w:val="center"/>
          </w:tcPr>
          <w:p>
            <w:pPr>
              <w:jc w:val="center"/>
              <w:rPr>
                <w:rFonts w:eastAsia="仿宋_GB2312"/>
                <w:color w:val="auto"/>
                <w:sz w:val="24"/>
                <w:szCs w:val="24"/>
              </w:rPr>
            </w:pPr>
            <w:r>
              <w:rPr>
                <w:rFonts w:eastAsia="仿宋_GB2312"/>
                <w:color w:val="auto"/>
                <w:sz w:val="24"/>
                <w:szCs w:val="24"/>
              </w:rPr>
              <w:t>12.5k～16k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89" w:type="pct"/>
            <w:vAlign w:val="center"/>
          </w:tcPr>
          <w:p>
            <w:pPr>
              <w:jc w:val="center"/>
              <w:rPr>
                <w:rFonts w:eastAsia="仿宋_GB2312"/>
                <w:color w:val="auto"/>
                <w:sz w:val="24"/>
                <w:szCs w:val="24"/>
              </w:rPr>
            </w:pPr>
            <w:r>
              <w:rPr>
                <w:rFonts w:eastAsia="仿宋_GB2312"/>
                <w:color w:val="auto"/>
                <w:sz w:val="24"/>
                <w:szCs w:val="24"/>
              </w:rPr>
              <w:t>允差(dB)</w:t>
            </w:r>
          </w:p>
        </w:tc>
        <w:tc>
          <w:tcPr>
            <w:tcW w:w="614" w:type="pct"/>
            <w:vAlign w:val="center"/>
          </w:tcPr>
          <w:p>
            <w:pPr>
              <w:jc w:val="center"/>
              <w:rPr>
                <w:rFonts w:eastAsia="仿宋_GB2312"/>
                <w:color w:val="auto"/>
                <w:sz w:val="24"/>
                <w:szCs w:val="24"/>
              </w:rPr>
            </w:pPr>
            <w:r>
              <w:rPr>
                <w:rFonts w:eastAsia="仿宋_GB2312"/>
                <w:color w:val="auto"/>
                <w:sz w:val="24"/>
                <w:szCs w:val="24"/>
              </w:rPr>
              <w:t>±0.5</w:t>
            </w:r>
          </w:p>
        </w:tc>
        <w:tc>
          <w:tcPr>
            <w:tcW w:w="748" w:type="pct"/>
            <w:vAlign w:val="center"/>
          </w:tcPr>
          <w:p>
            <w:pPr>
              <w:jc w:val="center"/>
              <w:rPr>
                <w:rFonts w:eastAsia="仿宋_GB2312"/>
                <w:color w:val="auto"/>
                <w:sz w:val="24"/>
                <w:szCs w:val="24"/>
              </w:rPr>
            </w:pPr>
            <w:r>
              <w:rPr>
                <w:rFonts w:eastAsia="仿宋_GB2312"/>
                <w:color w:val="auto"/>
                <w:sz w:val="24"/>
                <w:szCs w:val="24"/>
              </w:rPr>
              <w:t>±0.3</w:t>
            </w:r>
          </w:p>
        </w:tc>
        <w:tc>
          <w:tcPr>
            <w:tcW w:w="648" w:type="pct"/>
            <w:vAlign w:val="center"/>
          </w:tcPr>
          <w:p>
            <w:pPr>
              <w:jc w:val="center"/>
              <w:rPr>
                <w:rFonts w:eastAsia="仿宋_GB2312"/>
                <w:color w:val="auto"/>
                <w:sz w:val="24"/>
                <w:szCs w:val="24"/>
              </w:rPr>
            </w:pPr>
            <w:r>
              <w:rPr>
                <w:rFonts w:eastAsia="仿宋_GB2312"/>
                <w:color w:val="auto"/>
                <w:sz w:val="24"/>
                <w:szCs w:val="24"/>
              </w:rPr>
              <w:t>±0.25</w:t>
            </w:r>
          </w:p>
        </w:tc>
        <w:tc>
          <w:tcPr>
            <w:tcW w:w="614" w:type="pct"/>
            <w:vAlign w:val="center"/>
          </w:tcPr>
          <w:p>
            <w:pPr>
              <w:jc w:val="center"/>
              <w:rPr>
                <w:rFonts w:eastAsia="仿宋_GB2312"/>
                <w:color w:val="auto"/>
                <w:sz w:val="24"/>
                <w:szCs w:val="24"/>
              </w:rPr>
            </w:pPr>
            <w:r>
              <w:rPr>
                <w:rFonts w:eastAsia="仿宋_GB2312"/>
                <w:color w:val="auto"/>
                <w:sz w:val="24"/>
                <w:szCs w:val="24"/>
              </w:rPr>
              <w:t>±0.35</w:t>
            </w:r>
          </w:p>
        </w:tc>
        <w:tc>
          <w:tcPr>
            <w:tcW w:w="702" w:type="pct"/>
            <w:vAlign w:val="center"/>
          </w:tcPr>
          <w:p>
            <w:pPr>
              <w:jc w:val="center"/>
              <w:rPr>
                <w:rFonts w:eastAsia="仿宋_GB2312"/>
                <w:color w:val="auto"/>
                <w:sz w:val="24"/>
                <w:szCs w:val="24"/>
              </w:rPr>
            </w:pPr>
            <w:r>
              <w:rPr>
                <w:rFonts w:eastAsia="仿宋_GB2312"/>
                <w:color w:val="auto"/>
                <w:sz w:val="24"/>
                <w:szCs w:val="24"/>
              </w:rPr>
              <w:t>±0.45</w:t>
            </w:r>
          </w:p>
        </w:tc>
        <w:tc>
          <w:tcPr>
            <w:tcW w:w="881" w:type="pct"/>
            <w:vAlign w:val="center"/>
          </w:tcPr>
          <w:p>
            <w:pPr>
              <w:jc w:val="center"/>
              <w:rPr>
                <w:rFonts w:eastAsia="仿宋_GB2312"/>
                <w:color w:val="auto"/>
                <w:sz w:val="24"/>
                <w:szCs w:val="24"/>
              </w:rPr>
            </w:pPr>
            <w:r>
              <w:rPr>
                <w:rFonts w:eastAsia="仿宋_GB2312"/>
                <w:color w:val="auto"/>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89" w:type="pct"/>
            <w:vAlign w:val="center"/>
          </w:tcPr>
          <w:p>
            <w:pPr>
              <w:jc w:val="center"/>
              <w:rPr>
                <w:rFonts w:eastAsia="仿宋_GB2312"/>
                <w:color w:val="auto"/>
                <w:sz w:val="24"/>
                <w:szCs w:val="24"/>
              </w:rPr>
            </w:pPr>
            <w:r>
              <w:rPr>
                <w:rFonts w:eastAsia="仿宋_GB2312"/>
                <w:color w:val="auto"/>
                <w:sz w:val="24"/>
                <w:szCs w:val="24"/>
              </w:rPr>
              <w:t>幅度（dB）</w:t>
            </w:r>
          </w:p>
        </w:tc>
        <w:tc>
          <w:tcPr>
            <w:tcW w:w="4210" w:type="pct"/>
            <w:gridSpan w:val="6"/>
            <w:vAlign w:val="center"/>
          </w:tcPr>
          <w:p>
            <w:pPr>
              <w:jc w:val="center"/>
              <w:rPr>
                <w:rFonts w:eastAsia="仿宋_GB2312"/>
                <w:color w:val="auto"/>
                <w:sz w:val="24"/>
                <w:szCs w:val="24"/>
              </w:rPr>
            </w:pPr>
            <w:r>
              <w:rPr>
                <w:rFonts w:eastAsia="仿宋_GB2312"/>
                <w:color w:val="auto"/>
                <w:sz w:val="24"/>
                <w:szCs w:val="24"/>
              </w:rPr>
              <w:t>94、104、114</w:t>
            </w:r>
          </w:p>
        </w:tc>
      </w:tr>
    </w:tbl>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线级性：</w:t>
      </w:r>
    </w:p>
    <w:p>
      <w:pPr>
        <w:spacing w:line="560" w:lineRule="exact"/>
        <w:ind w:firstLine="640" w:firstLineChars="200"/>
        <w:rPr>
          <w:rFonts w:eastAsia="仿宋_GB2312"/>
          <w:color w:val="auto"/>
          <w:sz w:val="32"/>
          <w:szCs w:val="32"/>
        </w:rPr>
      </w:pPr>
      <w:r>
        <w:rPr>
          <w:rFonts w:hint="eastAsia" w:eastAsia="仿宋_GB2312"/>
          <w:color w:val="auto"/>
          <w:sz w:val="32"/>
          <w:szCs w:val="32"/>
        </w:rPr>
        <w:t>可调节声压级范围：90 dB – 114 dB。</w:t>
      </w:r>
    </w:p>
    <w:p>
      <w:pPr>
        <w:spacing w:line="560" w:lineRule="exact"/>
        <w:ind w:firstLine="640" w:firstLineChars="200"/>
        <w:rPr>
          <w:rFonts w:eastAsia="仿宋_GB2312"/>
          <w:color w:val="auto"/>
          <w:sz w:val="32"/>
          <w:szCs w:val="32"/>
        </w:rPr>
      </w:pPr>
      <w:r>
        <w:rPr>
          <w:rFonts w:hint="eastAsia" w:eastAsia="仿宋_GB2312"/>
          <w:color w:val="auto"/>
          <w:sz w:val="32"/>
          <w:szCs w:val="32"/>
        </w:rPr>
        <w:t>误差：10 dB以内±0.1 dB；10 dB以上±0.2 dB。</w:t>
      </w:r>
    </w:p>
    <w:p>
      <w:pPr>
        <w:numPr>
          <w:ilvl w:val="0"/>
          <w:numId w:val="2"/>
        </w:numPr>
        <w:spacing w:line="560" w:lineRule="exact"/>
        <w:ind w:left="0" w:firstLine="640" w:firstLineChars="200"/>
        <w:rPr>
          <w:rFonts w:eastAsia="仿宋_GB2312"/>
          <w:color w:val="auto"/>
          <w:sz w:val="32"/>
          <w:szCs w:val="32"/>
        </w:rPr>
      </w:pPr>
      <w:r>
        <w:rPr>
          <w:rFonts w:hint="eastAsia" w:eastAsia="仿宋_GB2312"/>
          <w:color w:val="auto"/>
          <w:sz w:val="32"/>
          <w:szCs w:val="32"/>
        </w:rPr>
        <w:t>总失真：</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1757"/>
        <w:gridCol w:w="1757"/>
        <w:gridCol w:w="1788"/>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52"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频率/Hz</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20 - 25</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31.5 - 125</w:t>
            </w:r>
          </w:p>
        </w:tc>
        <w:tc>
          <w:tcPr>
            <w:tcW w:w="1049"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160 - 1.25 k</w:t>
            </w:r>
          </w:p>
        </w:tc>
        <w:tc>
          <w:tcPr>
            <w:tcW w:w="1035"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1.6 k - 16 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52"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幅度/dB</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94、104、114</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94、104、114</w:t>
            </w:r>
          </w:p>
        </w:tc>
        <w:tc>
          <w:tcPr>
            <w:tcW w:w="1049"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94、104、114</w:t>
            </w:r>
          </w:p>
        </w:tc>
        <w:tc>
          <w:tcPr>
            <w:tcW w:w="1035"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94、104、114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852"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总失真</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5%</w:t>
            </w:r>
          </w:p>
        </w:tc>
        <w:tc>
          <w:tcPr>
            <w:tcW w:w="1031"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3%</w:t>
            </w:r>
          </w:p>
        </w:tc>
        <w:tc>
          <w:tcPr>
            <w:tcW w:w="1049"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2.5%</w:t>
            </w:r>
          </w:p>
        </w:tc>
        <w:tc>
          <w:tcPr>
            <w:tcW w:w="1035" w:type="pct"/>
            <w:vAlign w:val="center"/>
          </w:tcPr>
          <w:p>
            <w:pPr>
              <w:pStyle w:val="57"/>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3%</w:t>
            </w:r>
          </w:p>
        </w:tc>
      </w:tr>
    </w:tbl>
    <w:p>
      <w:pPr>
        <w:ind w:firstLine="640" w:firstLineChars="200"/>
        <w:jc w:val="left"/>
        <w:rPr>
          <w:rFonts w:eastAsia="仿宋_GB2312"/>
          <w:color w:val="000000"/>
          <w:sz w:val="32"/>
          <w:szCs w:val="32"/>
        </w:rPr>
      </w:pPr>
      <w:r>
        <w:rPr>
          <w:rFonts w:hint="eastAsia" w:eastAsia="仿宋_GB2312"/>
          <w:color w:val="000000"/>
          <w:sz w:val="32"/>
          <w:szCs w:val="32"/>
        </w:rPr>
        <w:t>（4）</w:t>
      </w:r>
      <w:r>
        <w:rPr>
          <w:rFonts w:eastAsia="仿宋_GB2312"/>
          <w:color w:val="000000"/>
          <w:sz w:val="32"/>
          <w:szCs w:val="32"/>
        </w:rPr>
        <w:t>外接电源：</w:t>
      </w:r>
    </w:p>
    <w:p>
      <w:pPr>
        <w:ind w:firstLine="640" w:firstLineChars="200"/>
        <w:rPr>
          <w:rFonts w:eastAsia="仿宋_GB2312"/>
          <w:sz w:val="32"/>
          <w:szCs w:val="32"/>
        </w:rPr>
      </w:pPr>
      <w:r>
        <w:rPr>
          <w:rFonts w:eastAsia="仿宋_GB2312"/>
          <w:sz w:val="32"/>
          <w:szCs w:val="32"/>
        </w:rPr>
        <w:t>输入：220 VAC 50/60 Hz；</w:t>
      </w:r>
    </w:p>
    <w:p>
      <w:pPr>
        <w:ind w:firstLine="640" w:firstLineChars="200"/>
        <w:jc w:val="left"/>
        <w:rPr>
          <w:rFonts w:eastAsia="仿宋_GB2312"/>
          <w:sz w:val="32"/>
          <w:szCs w:val="32"/>
        </w:rPr>
      </w:pPr>
      <w:r>
        <w:rPr>
          <w:rFonts w:eastAsia="仿宋_GB2312"/>
          <w:sz w:val="32"/>
          <w:szCs w:val="32"/>
        </w:rPr>
        <w:t>输出：5.0 VDC/1 A，TYPE-C接口，仪器功耗小于200 mA。</w:t>
      </w:r>
    </w:p>
    <w:p>
      <w:pPr>
        <w:ind w:firstLine="640" w:firstLineChars="200"/>
        <w:jc w:val="left"/>
        <w:rPr>
          <w:rFonts w:eastAsia="仿宋_GB2312"/>
          <w:sz w:val="32"/>
          <w:szCs w:val="32"/>
        </w:rPr>
      </w:pPr>
      <w:r>
        <w:rPr>
          <w:rFonts w:eastAsia="仿宋_GB2312"/>
          <w:sz w:val="32"/>
          <w:szCs w:val="32"/>
        </w:rPr>
        <w:t>仪器使用电压范围：5V - 9 V</w:t>
      </w:r>
    </w:p>
    <w:p>
      <w:pPr>
        <w:ind w:firstLine="640" w:firstLineChars="200"/>
        <w:jc w:val="left"/>
        <w:rPr>
          <w:rFonts w:eastAsia="仿宋_GB2312"/>
          <w:color w:val="000000"/>
          <w:sz w:val="32"/>
          <w:szCs w:val="32"/>
        </w:rPr>
      </w:pPr>
      <w:r>
        <w:rPr>
          <w:rFonts w:hint="eastAsia" w:eastAsia="仿宋_GB2312"/>
          <w:color w:val="000000"/>
          <w:sz w:val="32"/>
          <w:szCs w:val="32"/>
        </w:rPr>
        <w:t>（5）</w:t>
      </w:r>
      <w:r>
        <w:rPr>
          <w:rFonts w:eastAsia="仿宋_GB2312"/>
          <w:color w:val="000000"/>
          <w:sz w:val="32"/>
          <w:szCs w:val="32"/>
        </w:rPr>
        <w:t>内部电池：6×1.5 V碱性电池 LR6（5号）；最长连续使用时间10 h。</w:t>
      </w:r>
    </w:p>
    <w:p>
      <w:pPr>
        <w:ind w:firstLine="640" w:firstLineChars="200"/>
        <w:jc w:val="left"/>
        <w:rPr>
          <w:rFonts w:eastAsia="仿宋_GB2312"/>
          <w:color w:val="000000"/>
          <w:sz w:val="32"/>
          <w:szCs w:val="32"/>
        </w:rPr>
      </w:pPr>
      <w:r>
        <w:rPr>
          <w:rFonts w:hint="eastAsia" w:eastAsia="仿宋_GB2312"/>
          <w:color w:val="000000"/>
          <w:sz w:val="32"/>
          <w:szCs w:val="32"/>
        </w:rPr>
        <w:t>（6）</w:t>
      </w:r>
      <w:r>
        <w:rPr>
          <w:rFonts w:eastAsia="仿宋_GB2312"/>
          <w:color w:val="000000"/>
          <w:sz w:val="32"/>
          <w:szCs w:val="32"/>
        </w:rPr>
        <w:t>尺寸：主机尺寸205 mm×86 mm×42 mm；</w:t>
      </w:r>
    </w:p>
    <w:p>
      <w:pPr>
        <w:ind w:firstLine="640" w:firstLineChars="200"/>
        <w:jc w:val="left"/>
        <w:rPr>
          <w:rFonts w:eastAsia="仿宋_GB2312"/>
          <w:color w:val="000000"/>
          <w:sz w:val="32"/>
          <w:szCs w:val="32"/>
        </w:rPr>
      </w:pPr>
      <w:r>
        <w:rPr>
          <w:rFonts w:eastAsia="仿宋_GB2312"/>
          <w:color w:val="000000"/>
          <w:sz w:val="32"/>
          <w:szCs w:val="32"/>
        </w:rPr>
        <w:t>前置耦合腔尺寸φ40 mm×47.5 mm。</w:t>
      </w:r>
    </w:p>
    <w:p>
      <w:pPr>
        <w:ind w:firstLine="640" w:firstLineChars="200"/>
        <w:jc w:val="left"/>
        <w:rPr>
          <w:rFonts w:eastAsia="仿宋_GB2312"/>
          <w:color w:val="000000"/>
          <w:sz w:val="32"/>
          <w:szCs w:val="32"/>
        </w:rPr>
      </w:pPr>
      <w:r>
        <w:rPr>
          <w:rFonts w:hint="eastAsia" w:eastAsia="仿宋_GB2312"/>
          <w:color w:val="000000"/>
          <w:sz w:val="32"/>
          <w:szCs w:val="32"/>
        </w:rPr>
        <w:t>（7）</w:t>
      </w:r>
      <w:r>
        <w:rPr>
          <w:rFonts w:eastAsia="仿宋_GB2312"/>
          <w:color w:val="000000"/>
          <w:sz w:val="32"/>
          <w:szCs w:val="32"/>
        </w:rPr>
        <w:t>稳定时间：小于10 s。</w:t>
      </w:r>
    </w:p>
    <w:p>
      <w:pPr>
        <w:ind w:firstLine="640" w:firstLineChars="200"/>
        <w:jc w:val="left"/>
        <w:rPr>
          <w:rFonts w:eastAsia="仿宋_GB2312"/>
          <w:color w:val="000000"/>
          <w:sz w:val="32"/>
          <w:szCs w:val="32"/>
        </w:rPr>
      </w:pPr>
      <w:r>
        <w:rPr>
          <w:rFonts w:hint="eastAsia" w:eastAsia="仿宋_GB2312"/>
          <w:color w:val="000000"/>
          <w:sz w:val="32"/>
          <w:szCs w:val="32"/>
        </w:rPr>
        <w:t>（8）</w:t>
      </w:r>
      <w:r>
        <w:rPr>
          <w:rFonts w:eastAsia="仿宋_GB2312"/>
          <w:color w:val="000000"/>
          <w:sz w:val="32"/>
          <w:szCs w:val="32"/>
        </w:rPr>
        <w:t>使用环境：</w:t>
      </w:r>
    </w:p>
    <w:p>
      <w:pPr>
        <w:ind w:firstLine="640" w:firstLineChars="200"/>
        <w:jc w:val="left"/>
        <w:rPr>
          <w:rFonts w:eastAsia="仿宋_GB2312"/>
          <w:color w:val="000000"/>
          <w:sz w:val="32"/>
          <w:szCs w:val="32"/>
        </w:rPr>
      </w:pPr>
      <w:r>
        <w:rPr>
          <w:rFonts w:eastAsia="仿宋_GB2312"/>
          <w:color w:val="000000"/>
          <w:sz w:val="32"/>
          <w:szCs w:val="32"/>
        </w:rPr>
        <w:t>温度范围：-10 ℃～+50 ℃；</w:t>
      </w:r>
    </w:p>
    <w:p>
      <w:pPr>
        <w:ind w:firstLine="640" w:firstLineChars="200"/>
        <w:jc w:val="left"/>
        <w:rPr>
          <w:rFonts w:eastAsia="仿宋_GB2312"/>
          <w:color w:val="000000"/>
          <w:sz w:val="32"/>
          <w:szCs w:val="32"/>
        </w:rPr>
      </w:pPr>
      <w:r>
        <w:rPr>
          <w:rFonts w:eastAsia="仿宋_GB2312"/>
          <w:color w:val="000000"/>
          <w:sz w:val="32"/>
          <w:szCs w:val="32"/>
        </w:rPr>
        <w:t>相对湿度：25 %～90 %；</w:t>
      </w:r>
    </w:p>
    <w:p>
      <w:pPr>
        <w:ind w:firstLine="640" w:firstLineChars="200"/>
        <w:jc w:val="left"/>
        <w:rPr>
          <w:rFonts w:eastAsia="仿宋_GB2312"/>
          <w:color w:val="000000"/>
          <w:sz w:val="32"/>
          <w:szCs w:val="32"/>
        </w:rPr>
      </w:pPr>
      <w:r>
        <w:rPr>
          <w:rFonts w:eastAsia="仿宋_GB2312"/>
          <w:color w:val="000000"/>
          <w:sz w:val="32"/>
          <w:szCs w:val="32"/>
        </w:rPr>
        <w:t>大气压力：65 kPa～108 kPa。</w:t>
      </w:r>
    </w:p>
    <w:p>
      <w:pPr>
        <w:ind w:firstLine="640" w:firstLineChars="200"/>
        <w:jc w:val="left"/>
        <w:rPr>
          <w:rFonts w:eastAsia="仿宋_GB2312"/>
          <w:sz w:val="32"/>
          <w:szCs w:val="32"/>
        </w:rPr>
      </w:pPr>
      <w:r>
        <w:rPr>
          <w:rFonts w:hint="eastAsia" w:eastAsia="仿宋_GB2312"/>
          <w:color w:val="000000"/>
          <w:sz w:val="32"/>
          <w:szCs w:val="32"/>
        </w:rPr>
        <w:t>（9）</w:t>
      </w:r>
      <w:r>
        <w:rPr>
          <w:rFonts w:eastAsia="仿宋_GB2312"/>
          <w:color w:val="000000"/>
          <w:sz w:val="32"/>
          <w:szCs w:val="32"/>
        </w:rPr>
        <w:t>适用传声器：1/2''。</w:t>
      </w:r>
    </w:p>
    <w:p>
      <w:pPr>
        <w:spacing w:line="560" w:lineRule="exact"/>
        <w:ind w:firstLine="643" w:firstLineChars="200"/>
        <w:rPr>
          <w:rFonts w:eastAsia="仿宋_GB2312"/>
          <w:b/>
          <w:bCs/>
          <w:sz w:val="32"/>
          <w:szCs w:val="32"/>
        </w:rPr>
      </w:pPr>
      <w:r>
        <w:rPr>
          <w:rFonts w:hint="eastAsia" w:eastAsia="仿宋_GB2312"/>
          <w:b/>
          <w:bCs/>
          <w:sz w:val="32"/>
          <w:szCs w:val="32"/>
        </w:rPr>
        <w:t>2.皂膜流量计</w:t>
      </w:r>
    </w:p>
    <w:p>
      <w:pPr>
        <w:spacing w:line="560" w:lineRule="exact"/>
        <w:ind w:firstLine="640" w:firstLineChars="200"/>
        <w:rPr>
          <w:rFonts w:hint="eastAsia" w:eastAsia="仿宋_GB2312"/>
          <w:sz w:val="32"/>
          <w:szCs w:val="32"/>
          <w:lang w:eastAsia="zh-CN"/>
        </w:rPr>
      </w:pPr>
      <w:r>
        <w:rPr>
          <w:rFonts w:hint="eastAsia" w:eastAsia="仿宋_GB2312"/>
          <w:sz w:val="32"/>
          <w:szCs w:val="32"/>
        </w:rPr>
        <w:t>2.1</w:t>
      </w:r>
      <w:r>
        <w:rPr>
          <w:rFonts w:hint="eastAsia" w:eastAsia="仿宋_GB2312"/>
          <w:sz w:val="32"/>
          <w:szCs w:val="32"/>
          <w:lang w:eastAsia="zh-CN"/>
        </w:rPr>
        <w:t>配置要求</w:t>
      </w:r>
    </w:p>
    <w:p>
      <w:pPr>
        <w:numPr>
          <w:ilvl w:val="0"/>
          <w:numId w:val="3"/>
        </w:numPr>
        <w:spacing w:line="560" w:lineRule="exact"/>
        <w:ind w:left="0" w:firstLine="640" w:firstLineChars="200"/>
        <w:rPr>
          <w:rFonts w:eastAsia="仿宋_GB2312"/>
          <w:sz w:val="32"/>
          <w:szCs w:val="32"/>
        </w:rPr>
      </w:pPr>
      <w:r>
        <w:rPr>
          <w:rFonts w:hint="eastAsia" w:eastAsia="仿宋_GB2312"/>
          <w:sz w:val="32"/>
          <w:szCs w:val="32"/>
          <w:lang w:eastAsia="zh-CN"/>
        </w:rPr>
        <w:t>主机，</w:t>
      </w:r>
      <w:r>
        <w:rPr>
          <w:rFonts w:hint="eastAsia" w:eastAsia="仿宋_GB2312"/>
          <w:sz w:val="32"/>
          <w:szCs w:val="32"/>
          <w:lang w:val="en-US" w:eastAsia="zh-CN"/>
        </w:rPr>
        <w:t>1台；</w:t>
      </w:r>
    </w:p>
    <w:p>
      <w:pPr>
        <w:numPr>
          <w:ilvl w:val="0"/>
          <w:numId w:val="3"/>
        </w:numPr>
        <w:spacing w:line="560" w:lineRule="exact"/>
        <w:ind w:left="0" w:firstLine="640" w:firstLineChars="200"/>
        <w:rPr>
          <w:rFonts w:eastAsia="仿宋_GB2312"/>
          <w:sz w:val="32"/>
          <w:szCs w:val="32"/>
        </w:rPr>
      </w:pPr>
      <w:r>
        <w:rPr>
          <w:rFonts w:hint="eastAsia" w:eastAsia="仿宋_GB2312"/>
          <w:sz w:val="32"/>
          <w:szCs w:val="32"/>
          <w:lang w:val="en-US" w:eastAsia="zh-CN"/>
        </w:rPr>
        <w:t>玻璃流量管，1根。</w:t>
      </w:r>
    </w:p>
    <w:p>
      <w:pPr>
        <w:spacing w:line="560" w:lineRule="exact"/>
        <w:ind w:firstLine="640" w:firstLineChars="200"/>
        <w:rPr>
          <w:rFonts w:eastAsia="仿宋_GB2312"/>
          <w:sz w:val="32"/>
          <w:szCs w:val="32"/>
        </w:rPr>
      </w:pPr>
      <w:r>
        <w:rPr>
          <w:rFonts w:hint="eastAsia" w:eastAsia="仿宋_GB2312"/>
          <w:sz w:val="32"/>
          <w:szCs w:val="32"/>
        </w:rPr>
        <w:t>3.2技术参数要求</w:t>
      </w:r>
    </w:p>
    <w:p>
      <w:pPr>
        <w:numPr>
          <w:ilvl w:val="0"/>
          <w:numId w:val="4"/>
        </w:numPr>
        <w:spacing w:line="560" w:lineRule="exact"/>
        <w:ind w:firstLine="640" w:firstLineChars="200"/>
        <w:rPr>
          <w:rFonts w:eastAsia="仿宋_GB2312"/>
          <w:sz w:val="32"/>
          <w:szCs w:val="32"/>
        </w:rPr>
      </w:pPr>
      <w:r>
        <w:rPr>
          <w:rFonts w:hint="eastAsia" w:eastAsia="仿宋_GB2312"/>
          <w:sz w:val="32"/>
          <w:szCs w:val="32"/>
        </w:rPr>
        <w:t>测量精度：△Q＜±1%</w:t>
      </w:r>
      <w:r>
        <w:rPr>
          <w:rFonts w:hint="eastAsia" w:eastAsia="仿宋_GB2312"/>
          <w:sz w:val="32"/>
          <w:szCs w:val="32"/>
          <w:lang w:eastAsia="zh-CN"/>
        </w:rPr>
        <w:t>，</w:t>
      </w:r>
      <w:r>
        <w:rPr>
          <w:rFonts w:hint="eastAsia" w:eastAsia="仿宋_GB2312"/>
          <w:sz w:val="32"/>
          <w:szCs w:val="32"/>
        </w:rPr>
        <w:t>重复性：＜0.5%</w:t>
      </w:r>
      <w:r>
        <w:rPr>
          <w:rFonts w:hint="eastAsia" w:eastAsia="仿宋_GB2312"/>
          <w:sz w:val="32"/>
          <w:szCs w:val="32"/>
          <w:lang w:eastAsia="zh-CN"/>
        </w:rPr>
        <w:t>，</w:t>
      </w:r>
      <w:r>
        <w:rPr>
          <w:rFonts w:hint="eastAsia" w:eastAsia="仿宋_GB2312"/>
          <w:sz w:val="32"/>
          <w:szCs w:val="32"/>
        </w:rPr>
        <w:t>流量精度：0.1ml/min</w:t>
      </w:r>
      <w:r>
        <w:rPr>
          <w:rFonts w:hint="eastAsia" w:eastAsia="仿宋_GB2312"/>
          <w:sz w:val="32"/>
          <w:szCs w:val="32"/>
          <w:lang w:eastAsia="zh-CN"/>
        </w:rPr>
        <w:t>，</w:t>
      </w:r>
      <w:r>
        <w:rPr>
          <w:rFonts w:hint="eastAsia" w:eastAsia="仿宋_GB2312"/>
          <w:sz w:val="32"/>
          <w:szCs w:val="32"/>
        </w:rPr>
        <w:t>时间精度：0.1S（内部计算精确到0.01S）</w:t>
      </w:r>
      <w:r>
        <w:rPr>
          <w:rFonts w:hint="eastAsia" w:eastAsia="仿宋_GB2312"/>
          <w:sz w:val="32"/>
          <w:szCs w:val="32"/>
          <w:lang w:eastAsia="zh-CN"/>
        </w:rPr>
        <w:t>，</w:t>
      </w:r>
      <w:r>
        <w:rPr>
          <w:rFonts w:hint="eastAsia" w:eastAsia="仿宋_GB2312"/>
          <w:sz w:val="32"/>
          <w:szCs w:val="32"/>
        </w:rPr>
        <w:t>标称量程：5mL/min-5L/min；</w:t>
      </w:r>
    </w:p>
    <w:p>
      <w:pPr>
        <w:numPr>
          <w:ilvl w:val="0"/>
          <w:numId w:val="4"/>
        </w:numPr>
        <w:spacing w:line="560" w:lineRule="exact"/>
        <w:ind w:firstLine="640" w:firstLineChars="200"/>
        <w:rPr>
          <w:rFonts w:eastAsia="仿宋_GB2312"/>
          <w:sz w:val="32"/>
          <w:szCs w:val="32"/>
        </w:rPr>
      </w:pPr>
      <w:r>
        <w:rPr>
          <w:rFonts w:hint="eastAsia" w:eastAsia="仿宋_GB2312"/>
          <w:sz w:val="32"/>
          <w:szCs w:val="32"/>
        </w:rPr>
        <w:t>满足JJG586-2006《皂膜流量计检定规程》</w:t>
      </w:r>
    </w:p>
    <w:p>
      <w:pPr>
        <w:numPr>
          <w:ilvl w:val="0"/>
          <w:numId w:val="4"/>
        </w:numPr>
        <w:spacing w:line="560" w:lineRule="exact"/>
        <w:ind w:firstLine="640" w:firstLineChars="200"/>
        <w:rPr>
          <w:rFonts w:eastAsia="仿宋_GB2312"/>
          <w:sz w:val="32"/>
          <w:szCs w:val="32"/>
        </w:rPr>
      </w:pPr>
      <w:r>
        <w:rPr>
          <w:rFonts w:hint="eastAsia" w:eastAsia="仿宋_GB2312"/>
          <w:sz w:val="32"/>
          <w:szCs w:val="32"/>
        </w:rPr>
        <w:t>内装标称值为4.8V/2400mA/h的充电电池，充满电后待机＞24h，充电次数＞500次。</w:t>
      </w:r>
    </w:p>
    <w:p>
      <w:pPr>
        <w:spacing w:line="560" w:lineRule="exact"/>
        <w:ind w:firstLine="643" w:firstLineChars="200"/>
        <w:rPr>
          <w:rFonts w:eastAsia="仿宋_GB2312"/>
          <w:b/>
          <w:bCs/>
          <w:sz w:val="32"/>
          <w:szCs w:val="32"/>
        </w:rPr>
      </w:pPr>
      <w:r>
        <w:rPr>
          <w:rFonts w:hint="eastAsia" w:eastAsia="仿宋_GB2312"/>
          <w:b/>
          <w:bCs/>
          <w:sz w:val="32"/>
          <w:szCs w:val="32"/>
        </w:rPr>
        <w:t>3.便携式浊度仪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3.1配置要求</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测定仪主机，1台；</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便携防护箱，1个；</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10NTU的1级验证标准液，1瓶；</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StablCal 一级标准液，1瓶</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样品池，6个。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3.2技术参数要求</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量程：0-1000NTU，准确度为读数加上杂散光的±2%</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杂散光＜0.02NTU（FNU）</w:t>
      </w:r>
      <w:r>
        <w:rPr>
          <w:rFonts w:hint="eastAsia" w:eastAsia="仿宋_GB2312" w:cs="Times New Roman"/>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分辨率：最低量程时为0.01NTU</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可重复性：读数的± 1%或0.01NTU</w:t>
      </w:r>
      <w:r>
        <w:rPr>
          <w:rFonts w:hint="eastAsia" w:eastAsia="仿宋_GB2312" w:cs="Times New Roman"/>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0-1000NTU的全量程校准；</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具有信号平均功能；</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双检测器光学系统，可消除色度、光波动、杂散光等的干扰；</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电源要求：110~230 Vac，50/60 Hz (交流电或者USB+电源模块)；4节AA电池；可充电镍氢电池（用于USB+电源模块）；</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仪器防护等级：IP67</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eastAsia="仿宋_GB2312" w:cs="Times New Roman"/>
          <w:b/>
          <w:bCs/>
          <w:sz w:val="32"/>
          <w:szCs w:val="32"/>
          <w:lang w:val="en-US" w:eastAsia="zh-CN"/>
        </w:rPr>
      </w:pPr>
      <w:r>
        <w:rPr>
          <w:rFonts w:hint="default" w:ascii="Times New Roman" w:hAnsi="Times New Roman" w:eastAsia="仿宋_GB2312" w:cs="Times New Roman"/>
          <w:color w:val="auto"/>
          <w:sz w:val="32"/>
          <w:szCs w:val="32"/>
        </w:rPr>
        <w:t>RST（快速沉淀浊度）模式，即使样品发生快速沉淀，仍然能读出正确的浊度值。</w:t>
      </w:r>
    </w:p>
    <w:p>
      <w:pPr>
        <w:spacing w:line="560" w:lineRule="exact"/>
        <w:ind w:left="400" w:leftChars="200"/>
        <w:rPr>
          <w:rFonts w:ascii="黑体" w:hAnsi="黑体" w:eastAsia="黑体" w:cs="黑体"/>
          <w:sz w:val="32"/>
          <w:szCs w:val="32"/>
        </w:rPr>
      </w:pPr>
      <w:r>
        <w:rPr>
          <w:rFonts w:hint="eastAsia" w:ascii="黑体" w:hAnsi="黑体" w:eastAsia="黑体" w:cs="黑体"/>
          <w:sz w:val="32"/>
          <w:szCs w:val="32"/>
        </w:rPr>
        <w:t>三、交货时间及地点</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（一）交货时间：合同签订后，20天内完成安装、调试等工作，45天内完成培训、验收等工作（指定送货时间的物品除外）。</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（二）交货地点：广州市天河区东郊工业园建华路89号广州市生态环境局天河环境监测站。</w:t>
      </w:r>
    </w:p>
    <w:p>
      <w:pPr>
        <w:spacing w:line="560" w:lineRule="exact"/>
        <w:ind w:firstLine="640" w:firstLineChars="200"/>
        <w:rPr>
          <w:rFonts w:eastAsia="楷体_GB2312"/>
          <w:sz w:val="32"/>
          <w:szCs w:val="32"/>
        </w:rPr>
      </w:pPr>
      <w:r>
        <w:rPr>
          <w:rFonts w:hint="eastAsia" w:eastAsia="仿宋_GB2312"/>
          <w:color w:val="102401"/>
          <w:kern w:val="0"/>
          <w:sz w:val="32"/>
          <w:szCs w:val="32"/>
        </w:rPr>
        <w:t>（三）仪器设备的安装调试：指定地点安装调试设备，并投入试运行，对设备进行检验调试，使设备各项技术指标达到要求。仪器设备安装、安装附件及不可预见费用等均包含在响应报价内。</w:t>
      </w:r>
    </w:p>
    <w:p>
      <w:pPr>
        <w:spacing w:line="560" w:lineRule="exact"/>
        <w:ind w:firstLine="640" w:firstLineChars="200"/>
        <w:rPr>
          <w:rFonts w:eastAsia="黑体"/>
          <w:sz w:val="32"/>
          <w:szCs w:val="32"/>
        </w:rPr>
      </w:pPr>
      <w:r>
        <w:rPr>
          <w:rFonts w:eastAsia="黑体"/>
          <w:sz w:val="32"/>
          <w:szCs w:val="32"/>
        </w:rPr>
        <w:t>四、验收标准</w:t>
      </w:r>
    </w:p>
    <w:p>
      <w:pPr>
        <w:spacing w:line="560" w:lineRule="exact"/>
        <w:ind w:firstLine="640" w:firstLineChars="200"/>
        <w:rPr>
          <w:rFonts w:eastAsia="楷体_GB2312"/>
          <w:sz w:val="32"/>
          <w:szCs w:val="32"/>
        </w:rPr>
      </w:pPr>
      <w:r>
        <w:rPr>
          <w:rFonts w:eastAsia="楷体_GB2312"/>
          <w:sz w:val="32"/>
          <w:szCs w:val="32"/>
        </w:rPr>
        <w:t>（一）</w:t>
      </w:r>
      <w:r>
        <w:rPr>
          <w:rFonts w:hint="eastAsia" w:eastAsia="楷体_GB2312"/>
          <w:sz w:val="32"/>
          <w:szCs w:val="32"/>
        </w:rPr>
        <w:t>实验室耗材验收</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1.验收清单需注明标准物质的生产厂家、证书号、有效期、浓度、体积等信息，需备注明耗材的品牌、型号等信息；所有标准物质必须提供相应的证书且符合要求；所提供的标准物质、实验室耗材须包装完好，外观完整；所有货物必须经过采购方及供应商共同确认。</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2.产品质量：应符合中华人民共和国国家安全质量标准、环保标准、行业标准。</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3.单、证齐全：应有产品合格证（或质量证明）、使用说明、保修证明、发票和其它应具有的单证。</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4.不满足验收标准的，应免费更换产品直至通过验收。</w:t>
      </w:r>
    </w:p>
    <w:p>
      <w:pPr>
        <w:spacing w:line="560" w:lineRule="exact"/>
        <w:ind w:firstLine="640" w:firstLineChars="200"/>
        <w:rPr>
          <w:rFonts w:eastAsia="楷体_GB2312"/>
          <w:color w:val="102401"/>
          <w:kern w:val="0"/>
          <w:sz w:val="32"/>
          <w:szCs w:val="32"/>
        </w:rPr>
      </w:pPr>
      <w:r>
        <w:rPr>
          <w:rFonts w:eastAsia="楷体_GB2312"/>
          <w:color w:val="102401"/>
          <w:kern w:val="0"/>
          <w:sz w:val="32"/>
          <w:szCs w:val="32"/>
        </w:rPr>
        <w:t>（二）</w:t>
      </w:r>
      <w:r>
        <w:rPr>
          <w:rFonts w:hint="eastAsia" w:eastAsia="楷体_GB2312"/>
          <w:color w:val="102401"/>
          <w:kern w:val="0"/>
          <w:sz w:val="32"/>
          <w:szCs w:val="32"/>
        </w:rPr>
        <w:t>仪器设备</w:t>
      </w:r>
      <w:r>
        <w:rPr>
          <w:rFonts w:eastAsia="楷体_GB2312"/>
          <w:color w:val="102401"/>
          <w:kern w:val="0"/>
          <w:sz w:val="32"/>
          <w:szCs w:val="32"/>
        </w:rPr>
        <w:t>验收</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1. 1级声级校准器、皂膜流量计、便携式浊度计</w:t>
      </w:r>
      <w:r>
        <w:rPr>
          <w:rFonts w:eastAsia="仿宋_GB2312"/>
          <w:color w:val="102401"/>
          <w:kern w:val="0"/>
          <w:sz w:val="32"/>
          <w:szCs w:val="32"/>
        </w:rPr>
        <w:t>应</w:t>
      </w:r>
      <w:r>
        <w:rPr>
          <w:rFonts w:hint="eastAsia" w:eastAsia="仿宋_GB2312"/>
          <w:color w:val="102401"/>
          <w:kern w:val="0"/>
          <w:sz w:val="32"/>
          <w:szCs w:val="32"/>
        </w:rPr>
        <w:t>提供通过</w:t>
      </w:r>
      <w:r>
        <w:rPr>
          <w:rFonts w:eastAsia="仿宋_GB2312"/>
          <w:color w:val="102401"/>
          <w:kern w:val="0"/>
          <w:sz w:val="32"/>
          <w:szCs w:val="32"/>
        </w:rPr>
        <w:t>政府依法设置的法定计量机构</w:t>
      </w:r>
      <w:r>
        <w:rPr>
          <w:rFonts w:hint="eastAsia" w:eastAsia="仿宋_GB2312"/>
          <w:color w:val="102401"/>
          <w:kern w:val="0"/>
          <w:sz w:val="32"/>
          <w:szCs w:val="32"/>
        </w:rPr>
        <w:t>出具的</w:t>
      </w:r>
      <w:r>
        <w:rPr>
          <w:rFonts w:eastAsia="仿宋_GB2312"/>
          <w:color w:val="102401"/>
          <w:kern w:val="0"/>
          <w:sz w:val="32"/>
          <w:szCs w:val="32"/>
        </w:rPr>
        <w:t>检定</w:t>
      </w:r>
      <w:r>
        <w:rPr>
          <w:rFonts w:hint="eastAsia" w:eastAsia="仿宋_GB2312"/>
          <w:color w:val="102401"/>
          <w:kern w:val="0"/>
          <w:sz w:val="32"/>
          <w:szCs w:val="32"/>
        </w:rPr>
        <w:t>证书或校准证书</w:t>
      </w:r>
      <w:r>
        <w:rPr>
          <w:rFonts w:eastAsia="仿宋_GB2312"/>
          <w:color w:val="102401"/>
          <w:kern w:val="0"/>
          <w:sz w:val="32"/>
          <w:szCs w:val="32"/>
        </w:rPr>
        <w:t>。</w:t>
      </w:r>
    </w:p>
    <w:p>
      <w:pPr>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2.仪器根据试运行结果，由供应商根据采购文件要求，采购人派人或指定一名专家参与验收。产品质量应达到设计要求，安装调试各项指标应符合技术参数要求。</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4.单、证齐全：应有产品合格证（或质量证明）、使用说明、保修证明、发票和其它应具有的单证。</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5.产品质量：应符合中华人民共和国国家安全质量标准、环保标准、行业标准。</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6.产品所有技术性能规格及参数：应符合招投标文件和合同所要求的技术标准及生产厂商公开的宣传资料和生产厂商官方网站宣传内容的标准要求。</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7.产品为全新未使用过的原厂合格正品（包括零部件），表面无划损、无任何缺陷隐患。</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8.厂家技术人员在安装调试验收合格后，对用户操作人员现场进行仪器使用及维护培训，直到用户受训人员熟练掌握原理、操作、维修保养技术。</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9.不满足验收标准的，应免费更换产品直至通过验收。</w:t>
      </w:r>
    </w:p>
    <w:p>
      <w:pPr>
        <w:tabs>
          <w:tab w:val="left" w:pos="360"/>
        </w:tabs>
        <w:spacing w:line="560" w:lineRule="exact"/>
        <w:ind w:firstLine="640" w:firstLineChars="200"/>
        <w:rPr>
          <w:rFonts w:eastAsia="黑体"/>
          <w:color w:val="102401"/>
          <w:kern w:val="0"/>
          <w:sz w:val="32"/>
          <w:szCs w:val="32"/>
        </w:rPr>
      </w:pPr>
      <w:r>
        <w:rPr>
          <w:rFonts w:eastAsia="黑体"/>
          <w:color w:val="102401"/>
          <w:kern w:val="0"/>
          <w:sz w:val="32"/>
          <w:szCs w:val="32"/>
        </w:rPr>
        <w:t>五、售后服务及要求</w:t>
      </w:r>
    </w:p>
    <w:p>
      <w:pPr>
        <w:tabs>
          <w:tab w:val="left" w:pos="360"/>
        </w:tabs>
        <w:spacing w:line="560" w:lineRule="exact"/>
        <w:ind w:firstLine="640" w:firstLineChars="200"/>
        <w:rPr>
          <w:rFonts w:eastAsia="仿宋_GB2312"/>
          <w:color w:val="102401"/>
          <w:kern w:val="0"/>
          <w:sz w:val="32"/>
          <w:szCs w:val="32"/>
        </w:rPr>
      </w:pPr>
      <w:r>
        <w:rPr>
          <w:rFonts w:eastAsia="仿宋_GB2312"/>
          <w:color w:val="102401"/>
          <w:kern w:val="0"/>
          <w:sz w:val="32"/>
          <w:szCs w:val="32"/>
        </w:rPr>
        <w:t>（一）</w:t>
      </w:r>
      <w:r>
        <w:rPr>
          <w:rFonts w:eastAsia="仿宋_GB2312"/>
          <w:sz w:val="32"/>
          <w:szCs w:val="32"/>
        </w:rPr>
        <w:t>中标人须到采购人使用现场提供运行、维护、故障排查与解决的技术培训，确保设备使用者能正常操作设备。</w:t>
      </w:r>
      <w:r>
        <w:rPr>
          <w:rFonts w:eastAsia="仿宋_GB2312"/>
          <w:color w:val="102401"/>
          <w:kern w:val="0"/>
          <w:sz w:val="32"/>
          <w:szCs w:val="32"/>
        </w:rPr>
        <w:t xml:space="preserve"> </w:t>
      </w:r>
    </w:p>
    <w:p>
      <w:pPr>
        <w:spacing w:line="560" w:lineRule="exact"/>
        <w:ind w:firstLine="640" w:firstLineChars="200"/>
        <w:rPr>
          <w:rFonts w:eastAsia="仿宋_GB2312"/>
          <w:sz w:val="32"/>
          <w:szCs w:val="32"/>
        </w:rPr>
      </w:pPr>
      <w:r>
        <w:rPr>
          <w:rFonts w:eastAsia="仿宋_GB2312"/>
          <w:sz w:val="32"/>
          <w:szCs w:val="32"/>
        </w:rPr>
        <w:t>（二）设备质保期自设备完成验收之日起执行。对仪器至少提供1年质保期保修服务，在质保期内，如果仪器运行不正常，中标方应免费更换仪器和提供技术服务。并提供终身收费维修服务。</w:t>
      </w:r>
    </w:p>
    <w:p>
      <w:pPr>
        <w:spacing w:line="560" w:lineRule="exact"/>
        <w:ind w:firstLine="640" w:firstLineChars="200"/>
        <w:rPr>
          <w:rFonts w:eastAsia="仿宋_GB2312"/>
          <w:sz w:val="32"/>
          <w:szCs w:val="32"/>
        </w:rPr>
      </w:pPr>
      <w:r>
        <w:rPr>
          <w:rFonts w:eastAsia="仿宋_GB2312"/>
          <w:sz w:val="32"/>
          <w:szCs w:val="32"/>
        </w:rPr>
        <w:t xml:space="preserve">（三）质保期内故障响应时间。提供常设热线服务和长期的免费技术指导，对采购人的服务通知，成交供应商在接报后2小时内响应，4小时内到达现场，24小时内处理完毕。若在24小时内仍未能有效解决，成交供应商须免费提供同档次的设备予采购人临时使用。 </w:t>
      </w:r>
    </w:p>
    <w:p>
      <w:pPr>
        <w:spacing w:line="560" w:lineRule="exact"/>
        <w:ind w:firstLine="640" w:firstLineChars="200"/>
        <w:rPr>
          <w:rFonts w:eastAsia="仿宋_GB2312"/>
          <w:sz w:val="32"/>
          <w:szCs w:val="32"/>
        </w:rPr>
      </w:pPr>
      <w:r>
        <w:rPr>
          <w:rFonts w:eastAsia="仿宋_GB2312"/>
          <w:sz w:val="32"/>
          <w:szCs w:val="32"/>
        </w:rPr>
        <w:t>（四）因设备的质量问题而发生争议，由广东省或广州市质检部门进行质量鉴定。设备符合质量标准的，鉴定费用由采购人承担；设备不符合质量标准的，鉴定费用由中标人承担。</w:t>
      </w:r>
    </w:p>
    <w:p>
      <w:pPr>
        <w:spacing w:line="560" w:lineRule="exact"/>
        <w:ind w:firstLine="640" w:firstLineChars="200"/>
        <w:rPr>
          <w:rFonts w:eastAsia="仿宋_GB2312"/>
          <w:sz w:val="32"/>
          <w:szCs w:val="32"/>
        </w:rPr>
      </w:pPr>
      <w:r>
        <w:rPr>
          <w:rFonts w:eastAsia="仿宋_GB2312"/>
          <w:sz w:val="32"/>
          <w:szCs w:val="32"/>
        </w:rPr>
        <w:t>（五）如果厂家有同系列仪器软件升级，采购人享有免费升级的权力。</w:t>
      </w:r>
    </w:p>
    <w:p>
      <w:pPr>
        <w:spacing w:line="560" w:lineRule="exact"/>
        <w:ind w:firstLine="640" w:firstLineChars="200"/>
        <w:rPr>
          <w:rFonts w:eastAsia="仿宋_GB2312"/>
          <w:color w:val="102401"/>
          <w:kern w:val="0"/>
          <w:sz w:val="32"/>
          <w:szCs w:val="32"/>
        </w:rPr>
      </w:pPr>
      <w:r>
        <w:rPr>
          <w:rFonts w:eastAsia="仿宋_GB2312"/>
          <w:sz w:val="32"/>
          <w:szCs w:val="32"/>
        </w:rPr>
        <w:t>（六）仪器厂家需在项目所在地设有专职售后工程师（提供具体地址、联系人、联系电话）。</w:t>
      </w:r>
    </w:p>
    <w:p>
      <w:pPr>
        <w:spacing w:line="560" w:lineRule="exact"/>
        <w:ind w:firstLine="640" w:firstLineChars="200"/>
        <w:rPr>
          <w:rFonts w:eastAsia="黑体"/>
          <w:sz w:val="32"/>
          <w:szCs w:val="32"/>
        </w:rPr>
      </w:pPr>
      <w:r>
        <w:rPr>
          <w:rFonts w:hint="eastAsia" w:eastAsia="黑体"/>
          <w:sz w:val="32"/>
          <w:szCs w:val="32"/>
        </w:rPr>
        <w:t>六</w:t>
      </w:r>
      <w:r>
        <w:rPr>
          <w:rFonts w:eastAsia="黑体"/>
          <w:sz w:val="32"/>
          <w:szCs w:val="32"/>
        </w:rPr>
        <w:t>、付款方式</w:t>
      </w:r>
    </w:p>
    <w:p>
      <w:pPr>
        <w:tabs>
          <w:tab w:val="left" w:pos="360"/>
        </w:tabs>
        <w:spacing w:line="560" w:lineRule="exact"/>
        <w:ind w:firstLine="640" w:firstLineChars="200"/>
        <w:rPr>
          <w:rFonts w:eastAsia="仿宋_GB2312"/>
          <w:kern w:val="0"/>
          <w:sz w:val="32"/>
          <w:szCs w:val="32"/>
        </w:rPr>
      </w:pPr>
      <w:r>
        <w:rPr>
          <w:rFonts w:hint="eastAsia" w:eastAsia="仿宋_GB2312"/>
          <w:kern w:val="0"/>
          <w:sz w:val="32"/>
          <w:szCs w:val="32"/>
        </w:rPr>
        <w:t>（一）合同签定并收发票后5个工作日内，采购人向成交供应商支付合同总金额的50%。</w:t>
      </w:r>
    </w:p>
    <w:p>
      <w:pPr>
        <w:tabs>
          <w:tab w:val="left" w:pos="360"/>
        </w:tabs>
        <w:spacing w:line="560" w:lineRule="exact"/>
        <w:ind w:firstLine="640" w:firstLineChars="200"/>
        <w:rPr>
          <w:rFonts w:eastAsia="仿宋_GB2312"/>
          <w:kern w:val="0"/>
          <w:sz w:val="32"/>
          <w:szCs w:val="32"/>
        </w:rPr>
      </w:pPr>
      <w:r>
        <w:rPr>
          <w:rFonts w:hint="eastAsia" w:eastAsia="仿宋_GB2312"/>
          <w:kern w:val="0"/>
          <w:sz w:val="32"/>
          <w:szCs w:val="32"/>
        </w:rPr>
        <w:t>（二）实验室耗材到货并验收合格，且</w:t>
      </w:r>
      <w:r>
        <w:rPr>
          <w:rFonts w:eastAsia="仿宋_GB2312"/>
          <w:sz w:val="32"/>
          <w:szCs w:val="32"/>
        </w:rPr>
        <w:t>仪器设备安装调试</w:t>
      </w:r>
      <w:r>
        <w:rPr>
          <w:rFonts w:hint="eastAsia" w:eastAsia="仿宋_GB2312"/>
          <w:sz w:val="32"/>
          <w:szCs w:val="32"/>
        </w:rPr>
        <w:t>并培训、验收</w:t>
      </w:r>
      <w:r>
        <w:rPr>
          <w:rFonts w:eastAsia="仿宋_GB2312"/>
          <w:sz w:val="32"/>
          <w:szCs w:val="32"/>
        </w:rPr>
        <w:t>完毕</w:t>
      </w:r>
      <w:r>
        <w:rPr>
          <w:rFonts w:hint="eastAsia" w:eastAsia="仿宋_GB2312"/>
          <w:kern w:val="0"/>
          <w:sz w:val="32"/>
          <w:szCs w:val="32"/>
        </w:rPr>
        <w:t>，收到发票后10个工作日内，采购人向成交供应商支付合同总金额50%。</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 xml:space="preserve">（三）成交供应商凭以下有效文件与采购人结算： </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 xml:space="preserve">1.合同复印件。 </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 xml:space="preserve">2.成交供应商开具的等额正式发票。 </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 xml:space="preserve">3.仪器设备提供加盖采购人公章的验收调试报告、实验室耗材提供加盖采购人公章的验收清单（首次付款不用提供）。 </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4.中标通知书。</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5.其他采购人需要的核销凭证。</w:t>
      </w:r>
    </w:p>
    <w:p>
      <w:pPr>
        <w:tabs>
          <w:tab w:val="left" w:pos="360"/>
        </w:tabs>
        <w:spacing w:line="560" w:lineRule="exact"/>
        <w:ind w:firstLine="640" w:firstLineChars="200"/>
        <w:rPr>
          <w:rFonts w:eastAsia="仿宋_GB2312"/>
          <w:color w:val="102401"/>
          <w:kern w:val="0"/>
          <w:sz w:val="32"/>
          <w:szCs w:val="32"/>
        </w:rPr>
      </w:pPr>
      <w:r>
        <w:rPr>
          <w:rFonts w:hint="eastAsia" w:eastAsia="仿宋_GB2312"/>
          <w:color w:val="102401"/>
          <w:kern w:val="0"/>
          <w:sz w:val="32"/>
          <w:szCs w:val="32"/>
        </w:rPr>
        <w:t>（四）因采购人使用的是财政资金，采购人在前款规定的付款时间为向政府采购支付部门提出办理财政支付申请手续的时间（不含政府财政支付部门审核的时间），在规定时间内提出支付申请手续后即视为采购人已经按期支付，相关付款到账时间及金额以财政拨款实际到付时间及金额为准，成交供应商不得因拨款的迟延而怠于履行合同义务或要求甲方承担违约责任。</w:t>
      </w:r>
    </w:p>
    <w:p>
      <w:pPr>
        <w:spacing w:line="560" w:lineRule="exact"/>
        <w:ind w:firstLine="640" w:firstLineChars="200"/>
        <w:rPr>
          <w:rFonts w:eastAsia="黑体"/>
          <w:sz w:val="32"/>
          <w:szCs w:val="32"/>
        </w:rPr>
      </w:pPr>
      <w:r>
        <w:rPr>
          <w:rFonts w:hint="eastAsia" w:hAnsi="黑体" w:eastAsia="黑体"/>
          <w:sz w:val="32"/>
          <w:szCs w:val="32"/>
        </w:rPr>
        <w:t>七</w:t>
      </w:r>
      <w:r>
        <w:rPr>
          <w:rFonts w:hAnsi="黑体" w:eastAsia="黑体"/>
          <w:sz w:val="32"/>
          <w:szCs w:val="32"/>
        </w:rPr>
        <w:t>、</w:t>
      </w:r>
      <w:r>
        <w:rPr>
          <w:rFonts w:hint="eastAsia" w:hAnsi="黑体" w:eastAsia="黑体"/>
          <w:sz w:val="32"/>
          <w:szCs w:val="32"/>
        </w:rPr>
        <w:t>供应商</w:t>
      </w:r>
      <w:r>
        <w:rPr>
          <w:rFonts w:hAnsi="黑体" w:eastAsia="黑体"/>
          <w:sz w:val="32"/>
          <w:szCs w:val="32"/>
        </w:rPr>
        <w:t>资格要求</w:t>
      </w:r>
    </w:p>
    <w:p>
      <w:pPr>
        <w:spacing w:line="560" w:lineRule="exact"/>
        <w:ind w:firstLine="640" w:firstLineChars="200"/>
        <w:rPr>
          <w:rFonts w:eastAsia="仿宋_GB2312"/>
          <w:sz w:val="32"/>
          <w:szCs w:val="32"/>
        </w:rPr>
      </w:pPr>
      <w:r>
        <w:rPr>
          <w:rFonts w:eastAsia="仿宋_GB2312"/>
          <w:sz w:val="32"/>
          <w:szCs w:val="32"/>
        </w:rPr>
        <w:t>（一）供应商要求为依法依规成立的国内独立企业法人或事业单位法人、社会团体等</w:t>
      </w:r>
      <w:r>
        <w:rPr>
          <w:rFonts w:hint="eastAsia" w:eastAsia="仿宋_GB2312"/>
          <w:sz w:val="32"/>
          <w:szCs w:val="32"/>
        </w:rPr>
        <w:t>（提供营业执照、事业法人证书、社会团体法人登记证书），分公司参加磋商的，必须由具有法人资格的总公司授权</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（二）供应商应具备《中华人民共和国政府采购法》第二十二条规定的条件。</w:t>
      </w:r>
    </w:p>
    <w:p>
      <w:pPr>
        <w:spacing w:line="560" w:lineRule="exact"/>
        <w:ind w:firstLine="640" w:firstLineChars="200"/>
        <w:rPr>
          <w:rFonts w:eastAsia="仿宋_GB2312"/>
          <w:sz w:val="32"/>
          <w:szCs w:val="32"/>
        </w:rPr>
      </w:pPr>
      <w:r>
        <w:rPr>
          <w:rFonts w:hint="eastAsia" w:eastAsia="仿宋_GB2312"/>
          <w:sz w:val="32"/>
          <w:szCs w:val="32"/>
        </w:rPr>
        <w:t xml:space="preserve">1.提供在中华人民共和国境内有效的执照（或证书）副本、组织机构代码证、税务登记证（国税、地税）复印件或三证合一证明文件复印件证明，供应商需提供完整的最新股东信息（若有）。分公司参加磋商的，必须提供总公司的营业执照副本复印件及总公司针对本项目的授权书原件；如供应商为自然人的需提供自然人身份证明。 </w:t>
      </w:r>
    </w:p>
    <w:p>
      <w:pPr>
        <w:spacing w:line="560" w:lineRule="exact"/>
        <w:ind w:firstLine="640" w:firstLineChars="200"/>
        <w:rPr>
          <w:rFonts w:eastAsia="仿宋_GB2312"/>
          <w:sz w:val="32"/>
          <w:szCs w:val="32"/>
        </w:rPr>
      </w:pPr>
      <w:r>
        <w:rPr>
          <w:rFonts w:hint="eastAsia" w:eastAsia="仿宋_GB2312"/>
          <w:sz w:val="32"/>
          <w:szCs w:val="32"/>
        </w:rPr>
        <w:t>2.具有良好的商业信誉和健全的财务会计制度（提供资格文件声明函）。</w:t>
      </w:r>
    </w:p>
    <w:p>
      <w:pPr>
        <w:spacing w:line="560" w:lineRule="exact"/>
        <w:ind w:firstLine="640" w:firstLineChars="200"/>
        <w:rPr>
          <w:rFonts w:eastAsia="仿宋_GB2312"/>
          <w:sz w:val="32"/>
          <w:szCs w:val="32"/>
        </w:rPr>
      </w:pPr>
      <w:r>
        <w:rPr>
          <w:rFonts w:hint="eastAsia" w:eastAsia="仿宋_GB2312"/>
          <w:sz w:val="32"/>
          <w:szCs w:val="32"/>
        </w:rPr>
        <w:t>3.具有履行合同所必需的设备和专业技术能力（提供资格文件声明函）。</w:t>
      </w:r>
    </w:p>
    <w:p>
      <w:pPr>
        <w:spacing w:line="560" w:lineRule="exact"/>
        <w:ind w:firstLine="640" w:firstLineChars="200"/>
        <w:rPr>
          <w:rFonts w:eastAsia="仿宋_GB2312"/>
          <w:sz w:val="32"/>
          <w:szCs w:val="32"/>
        </w:rPr>
      </w:pPr>
      <w:r>
        <w:rPr>
          <w:rFonts w:hint="eastAsia" w:eastAsia="仿宋_GB2312"/>
          <w:sz w:val="32"/>
          <w:szCs w:val="32"/>
        </w:rPr>
        <w:t>4.有依法缴纳税收和社会保障资金的良好记录（提供资格文件声明函）。</w:t>
      </w:r>
    </w:p>
    <w:p>
      <w:pPr>
        <w:spacing w:line="560" w:lineRule="exact"/>
        <w:ind w:firstLine="640" w:firstLineChars="200"/>
        <w:rPr>
          <w:rFonts w:eastAsia="仿宋_GB2312"/>
          <w:sz w:val="32"/>
          <w:szCs w:val="32"/>
        </w:rPr>
      </w:pPr>
      <w:r>
        <w:rPr>
          <w:rFonts w:hint="eastAsia" w:eastAsia="仿宋_GB2312"/>
          <w:sz w:val="32"/>
          <w:szCs w:val="32"/>
        </w:rPr>
        <w:t>5.参加政府采购活动前三年内，在经营活动中没有重大违法记录【重大违法记录，是指供应商因违法经营受到刑事处罚或者责令停产停业、吊销许可证或者执照、较大数额罚款等行政处罚。（“较大数额罚款”认定为200万元以上的罚款，法律、行政法规以及国务院有关部门明确规定相关领域“较大数额罚款”标准高于200万元的，从其规定。）】（提供资格文件声明函）。</w:t>
      </w:r>
    </w:p>
    <w:p>
      <w:pPr>
        <w:spacing w:line="560" w:lineRule="exact"/>
        <w:ind w:firstLine="640" w:firstLineChars="200"/>
        <w:rPr>
          <w:rFonts w:eastAsia="仿宋_GB2312"/>
          <w:sz w:val="32"/>
          <w:szCs w:val="32"/>
        </w:rPr>
      </w:pPr>
      <w:r>
        <w:rPr>
          <w:rFonts w:hint="eastAsia" w:eastAsia="仿宋_GB2312"/>
          <w:sz w:val="32"/>
          <w:szCs w:val="32"/>
        </w:rPr>
        <w:t>6.法律、行政法规规定的其他条件（提供资格文件声明函）。</w:t>
      </w:r>
    </w:p>
    <w:p>
      <w:pPr>
        <w:spacing w:line="560" w:lineRule="exact"/>
        <w:ind w:firstLine="640" w:firstLineChars="200"/>
        <w:rPr>
          <w:rFonts w:eastAsia="仿宋_GB2312"/>
          <w:sz w:val="32"/>
          <w:szCs w:val="32"/>
        </w:rPr>
      </w:pPr>
      <w:r>
        <w:rPr>
          <w:rFonts w:hint="eastAsia" w:eastAsia="仿宋_GB2312"/>
          <w:sz w:val="32"/>
          <w:szCs w:val="32"/>
        </w:rPr>
        <w:t>（三）不同的供应商之间有下列情形之一的，不接受作为参与同一采购项目竞争的供应商（提供资格文件声明函）：</w:t>
      </w:r>
    </w:p>
    <w:p>
      <w:pPr>
        <w:spacing w:line="560" w:lineRule="exact"/>
        <w:ind w:firstLine="640" w:firstLineChars="200"/>
        <w:rPr>
          <w:rFonts w:eastAsia="仿宋_GB2312"/>
          <w:sz w:val="32"/>
          <w:szCs w:val="32"/>
        </w:rPr>
      </w:pPr>
      <w:r>
        <w:rPr>
          <w:rFonts w:hint="eastAsia" w:eastAsia="仿宋_GB2312"/>
          <w:sz w:val="32"/>
          <w:szCs w:val="32"/>
        </w:rPr>
        <w:t>1.法定代表人或单位负责人为同一人或者存在直接控股、管理关系的供应商。</w:t>
      </w:r>
    </w:p>
    <w:p>
      <w:pPr>
        <w:spacing w:line="560" w:lineRule="exact"/>
        <w:ind w:firstLine="640" w:firstLineChars="200"/>
        <w:rPr>
          <w:rFonts w:eastAsia="仿宋_GB2312"/>
          <w:sz w:val="32"/>
          <w:szCs w:val="32"/>
        </w:rPr>
      </w:pPr>
      <w:r>
        <w:rPr>
          <w:rFonts w:hint="eastAsia" w:eastAsia="仿宋_GB2312"/>
          <w:sz w:val="32"/>
          <w:szCs w:val="32"/>
        </w:rPr>
        <w:t>2.为采购项目提供整体设计、规范编制或者项目管理、监理、检测等服务的供应商。</w:t>
      </w:r>
    </w:p>
    <w:p>
      <w:pPr>
        <w:spacing w:line="560" w:lineRule="exact"/>
        <w:ind w:left="912" w:leftChars="200" w:hanging="512" w:hangingChars="160"/>
        <w:rPr>
          <w:rFonts w:eastAsia="仿宋_GB2312"/>
          <w:bCs/>
          <w:sz w:val="32"/>
          <w:szCs w:val="32"/>
        </w:rPr>
      </w:pPr>
      <w:r>
        <w:rPr>
          <w:rFonts w:hint="eastAsia" w:eastAsia="仿宋_GB2312"/>
          <w:sz w:val="32"/>
          <w:szCs w:val="32"/>
        </w:rPr>
        <w:t>（四）</w:t>
      </w:r>
      <w:r>
        <w:rPr>
          <w:rFonts w:eastAsia="仿宋_GB2312"/>
          <w:bCs/>
          <w:sz w:val="32"/>
          <w:szCs w:val="32"/>
        </w:rPr>
        <w:t>落实政府采购政策需满足的资格要求</w:t>
      </w:r>
      <w:r>
        <w:rPr>
          <w:rFonts w:hint="eastAsia" w:eastAsia="仿宋_GB2312"/>
          <w:bCs/>
          <w:sz w:val="32"/>
          <w:szCs w:val="32"/>
        </w:rPr>
        <w:t>。</w:t>
      </w:r>
    </w:p>
    <w:p>
      <w:pPr>
        <w:spacing w:line="560" w:lineRule="exact"/>
        <w:ind w:firstLine="640" w:firstLineChars="200"/>
        <w:rPr>
          <w:rFonts w:eastAsia="仿宋_GB2312"/>
          <w:bCs/>
          <w:sz w:val="32"/>
          <w:szCs w:val="32"/>
        </w:rPr>
      </w:pPr>
      <w:r>
        <w:rPr>
          <w:rFonts w:hint="eastAsia" w:eastAsia="仿宋_GB2312"/>
          <w:bCs/>
          <w:sz w:val="32"/>
          <w:szCs w:val="32"/>
        </w:rPr>
        <w:t>本项目属于专门面向中小企业采购的项目。</w:t>
      </w:r>
    </w:p>
    <w:p>
      <w:pPr>
        <w:spacing w:line="560" w:lineRule="exact"/>
        <w:ind w:left="912" w:leftChars="200" w:hanging="512" w:hangingChars="160"/>
        <w:rPr>
          <w:rFonts w:eastAsia="仿宋_GB2312"/>
          <w:sz w:val="32"/>
          <w:szCs w:val="32"/>
        </w:rPr>
      </w:pPr>
      <w:r>
        <w:rPr>
          <w:rFonts w:hint="eastAsia" w:eastAsia="仿宋_GB2312"/>
          <w:sz w:val="32"/>
          <w:szCs w:val="32"/>
        </w:rPr>
        <w:t>（五）</w:t>
      </w:r>
      <w:r>
        <w:rPr>
          <w:rFonts w:eastAsia="仿宋_GB2312"/>
          <w:sz w:val="32"/>
          <w:szCs w:val="32"/>
        </w:rPr>
        <w:t>本项目不接受联合体参加磋商。</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eastAsiaTheme="minorEastAsia"/>
        <w:sz w:val="28"/>
        <w:szCs w:val="28"/>
      </w:rPr>
    </w:pPr>
    <w:r>
      <w:rPr>
        <w:rFonts w:eastAsiaTheme="minorEastAsia"/>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7"/>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A774FB"/>
    <w:multiLevelType w:val="singleLevel"/>
    <w:tmpl w:val="D0A774FB"/>
    <w:lvl w:ilvl="0" w:tentative="0">
      <w:start w:val="1"/>
      <w:numFmt w:val="decimal"/>
      <w:suff w:val="nothing"/>
      <w:lvlText w:val="（%1）"/>
      <w:lvlJc w:val="left"/>
    </w:lvl>
  </w:abstractNum>
  <w:abstractNum w:abstractNumId="1">
    <w:nsid w:val="E96E2900"/>
    <w:multiLevelType w:val="singleLevel"/>
    <w:tmpl w:val="E96E2900"/>
    <w:lvl w:ilvl="0" w:tentative="0">
      <w:start w:val="1"/>
      <w:numFmt w:val="decimal"/>
      <w:suff w:val="nothing"/>
      <w:lvlText w:val="（%1）"/>
      <w:lvlJc w:val="left"/>
      <w:pPr>
        <w:ind w:left="640" w:firstLine="0"/>
      </w:pPr>
    </w:lvl>
  </w:abstractNum>
  <w:abstractNum w:abstractNumId="2">
    <w:nsid w:val="0C48216B"/>
    <w:multiLevelType w:val="singleLevel"/>
    <w:tmpl w:val="0C48216B"/>
    <w:lvl w:ilvl="0" w:tentative="0">
      <w:start w:val="1"/>
      <w:numFmt w:val="decimal"/>
      <w:suff w:val="nothing"/>
      <w:lvlText w:val="（%1）"/>
      <w:lvlJc w:val="left"/>
      <w:rPr>
        <w:rFonts w:hint="default"/>
        <w:b w:val="0"/>
        <w:bCs w:val="0"/>
      </w:rPr>
    </w:lvl>
  </w:abstractNum>
  <w:abstractNum w:abstractNumId="3">
    <w:nsid w:val="482B95B9"/>
    <w:multiLevelType w:val="singleLevel"/>
    <w:tmpl w:val="482B95B9"/>
    <w:lvl w:ilvl="0" w:tentative="0">
      <w:start w:val="1"/>
      <w:numFmt w:val="decimal"/>
      <w:suff w:val="nothing"/>
      <w:lvlText w:val="（%1）"/>
      <w:lvlJc w:val="left"/>
    </w:lvl>
  </w:abstractNum>
  <w:abstractNum w:abstractNumId="4">
    <w:nsid w:val="5AC35C54"/>
    <w:multiLevelType w:val="singleLevel"/>
    <w:tmpl w:val="5AC35C54"/>
    <w:lvl w:ilvl="0" w:tentative="0">
      <w:start w:val="1"/>
      <w:numFmt w:val="decimal"/>
      <w:suff w:val="nothing"/>
      <w:lvlText w:val="（%1）"/>
      <w:lvlJc w:val="left"/>
      <w:pPr>
        <w:ind w:left="640" w:firstLine="0"/>
      </w:pPr>
    </w:lvl>
  </w:abstractNum>
  <w:abstractNum w:abstractNumId="5">
    <w:nsid w:val="708E167C"/>
    <w:multiLevelType w:val="singleLevel"/>
    <w:tmpl w:val="708E167C"/>
    <w:lvl w:ilvl="0" w:tentative="0">
      <w:start w:val="1"/>
      <w:numFmt w:val="decimal"/>
      <w:suff w:val="nothing"/>
      <w:lvlText w:val="（%1）"/>
      <w:lvlJc w:val="left"/>
      <w:pPr>
        <w:ind w:left="640" w:firstLine="0"/>
      </w:pPr>
    </w:lvl>
  </w:abstractNum>
  <w:num w:numId="1">
    <w:abstractNumId w:val="5"/>
  </w:num>
  <w:num w:numId="2">
    <w:abstractNumId w:val="1"/>
  </w:num>
  <w:num w:numId="3">
    <w:abstractNumId w:val="4"/>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zMTAyNzcyNTViMzMxNzc0YTIxY2Y2ZjFkZDFmNzYifQ=="/>
  </w:docVars>
  <w:rsids>
    <w:rsidRoot w:val="002670F6"/>
    <w:rsid w:val="0000091D"/>
    <w:rsid w:val="00000B3C"/>
    <w:rsid w:val="00001CAC"/>
    <w:rsid w:val="00003227"/>
    <w:rsid w:val="00003A04"/>
    <w:rsid w:val="00004669"/>
    <w:rsid w:val="0000476E"/>
    <w:rsid w:val="0000574A"/>
    <w:rsid w:val="00005A75"/>
    <w:rsid w:val="000063DB"/>
    <w:rsid w:val="00007FB6"/>
    <w:rsid w:val="000125F8"/>
    <w:rsid w:val="00013EC1"/>
    <w:rsid w:val="0001429A"/>
    <w:rsid w:val="00014532"/>
    <w:rsid w:val="0002054A"/>
    <w:rsid w:val="00021188"/>
    <w:rsid w:val="00022B78"/>
    <w:rsid w:val="00022DA4"/>
    <w:rsid w:val="00023549"/>
    <w:rsid w:val="000235C5"/>
    <w:rsid w:val="000238BE"/>
    <w:rsid w:val="00024954"/>
    <w:rsid w:val="00024BB5"/>
    <w:rsid w:val="00024BEE"/>
    <w:rsid w:val="0002690E"/>
    <w:rsid w:val="00026EB5"/>
    <w:rsid w:val="00027819"/>
    <w:rsid w:val="00027D17"/>
    <w:rsid w:val="00030DC3"/>
    <w:rsid w:val="0003161C"/>
    <w:rsid w:val="0003202A"/>
    <w:rsid w:val="000320D5"/>
    <w:rsid w:val="00033601"/>
    <w:rsid w:val="00033BDA"/>
    <w:rsid w:val="000343CD"/>
    <w:rsid w:val="00035402"/>
    <w:rsid w:val="00035A9F"/>
    <w:rsid w:val="00035D08"/>
    <w:rsid w:val="0003678B"/>
    <w:rsid w:val="00036891"/>
    <w:rsid w:val="00037F82"/>
    <w:rsid w:val="00040077"/>
    <w:rsid w:val="00041534"/>
    <w:rsid w:val="00041830"/>
    <w:rsid w:val="00041A30"/>
    <w:rsid w:val="000421D5"/>
    <w:rsid w:val="0004284C"/>
    <w:rsid w:val="00042875"/>
    <w:rsid w:val="00042A9A"/>
    <w:rsid w:val="00043A7B"/>
    <w:rsid w:val="00044B6D"/>
    <w:rsid w:val="0004574B"/>
    <w:rsid w:val="0004632C"/>
    <w:rsid w:val="00047311"/>
    <w:rsid w:val="00050113"/>
    <w:rsid w:val="00050A94"/>
    <w:rsid w:val="00051308"/>
    <w:rsid w:val="00051785"/>
    <w:rsid w:val="000518F0"/>
    <w:rsid w:val="00052F6B"/>
    <w:rsid w:val="000530E5"/>
    <w:rsid w:val="00053189"/>
    <w:rsid w:val="00054175"/>
    <w:rsid w:val="000544AD"/>
    <w:rsid w:val="000546AB"/>
    <w:rsid w:val="00054849"/>
    <w:rsid w:val="000553A7"/>
    <w:rsid w:val="0005654C"/>
    <w:rsid w:val="0005708E"/>
    <w:rsid w:val="000575BE"/>
    <w:rsid w:val="00057CD9"/>
    <w:rsid w:val="0006044E"/>
    <w:rsid w:val="0006067E"/>
    <w:rsid w:val="000606E1"/>
    <w:rsid w:val="0006089A"/>
    <w:rsid w:val="00060CA3"/>
    <w:rsid w:val="00060D41"/>
    <w:rsid w:val="0006189C"/>
    <w:rsid w:val="000624ED"/>
    <w:rsid w:val="00064743"/>
    <w:rsid w:val="000662E1"/>
    <w:rsid w:val="00066C53"/>
    <w:rsid w:val="00070180"/>
    <w:rsid w:val="00071978"/>
    <w:rsid w:val="0007219F"/>
    <w:rsid w:val="00073E52"/>
    <w:rsid w:val="00074524"/>
    <w:rsid w:val="00077ACB"/>
    <w:rsid w:val="00077D6B"/>
    <w:rsid w:val="0008001E"/>
    <w:rsid w:val="000806A7"/>
    <w:rsid w:val="000809CF"/>
    <w:rsid w:val="00081C0D"/>
    <w:rsid w:val="00083DC7"/>
    <w:rsid w:val="00084563"/>
    <w:rsid w:val="0008456C"/>
    <w:rsid w:val="00085229"/>
    <w:rsid w:val="0008795E"/>
    <w:rsid w:val="0009008A"/>
    <w:rsid w:val="0009017C"/>
    <w:rsid w:val="00090DD2"/>
    <w:rsid w:val="0009183C"/>
    <w:rsid w:val="0009225A"/>
    <w:rsid w:val="000922CA"/>
    <w:rsid w:val="00092F3C"/>
    <w:rsid w:val="000936B8"/>
    <w:rsid w:val="00093700"/>
    <w:rsid w:val="00094B20"/>
    <w:rsid w:val="00095153"/>
    <w:rsid w:val="00095280"/>
    <w:rsid w:val="000967E9"/>
    <w:rsid w:val="000972F6"/>
    <w:rsid w:val="000A09F2"/>
    <w:rsid w:val="000A0DAC"/>
    <w:rsid w:val="000A0FC3"/>
    <w:rsid w:val="000A112C"/>
    <w:rsid w:val="000A16FA"/>
    <w:rsid w:val="000A1BA8"/>
    <w:rsid w:val="000A2859"/>
    <w:rsid w:val="000A2BF9"/>
    <w:rsid w:val="000A2EF0"/>
    <w:rsid w:val="000A363E"/>
    <w:rsid w:val="000A3F41"/>
    <w:rsid w:val="000A417D"/>
    <w:rsid w:val="000A42D5"/>
    <w:rsid w:val="000A4572"/>
    <w:rsid w:val="000A47CC"/>
    <w:rsid w:val="000A4B91"/>
    <w:rsid w:val="000A4E00"/>
    <w:rsid w:val="000A66A8"/>
    <w:rsid w:val="000A743B"/>
    <w:rsid w:val="000B090F"/>
    <w:rsid w:val="000B098B"/>
    <w:rsid w:val="000B1778"/>
    <w:rsid w:val="000B178A"/>
    <w:rsid w:val="000B1D0A"/>
    <w:rsid w:val="000B2D32"/>
    <w:rsid w:val="000B38CF"/>
    <w:rsid w:val="000B3C3C"/>
    <w:rsid w:val="000B4151"/>
    <w:rsid w:val="000B4214"/>
    <w:rsid w:val="000B565E"/>
    <w:rsid w:val="000B6C6A"/>
    <w:rsid w:val="000B74D3"/>
    <w:rsid w:val="000B7D76"/>
    <w:rsid w:val="000B7F80"/>
    <w:rsid w:val="000C0016"/>
    <w:rsid w:val="000C084C"/>
    <w:rsid w:val="000C217F"/>
    <w:rsid w:val="000C2ABB"/>
    <w:rsid w:val="000C2BE4"/>
    <w:rsid w:val="000C39D9"/>
    <w:rsid w:val="000C3A48"/>
    <w:rsid w:val="000C3FAB"/>
    <w:rsid w:val="000C4748"/>
    <w:rsid w:val="000C4963"/>
    <w:rsid w:val="000C5888"/>
    <w:rsid w:val="000C648A"/>
    <w:rsid w:val="000C7AE2"/>
    <w:rsid w:val="000D0FB7"/>
    <w:rsid w:val="000D184C"/>
    <w:rsid w:val="000D2E41"/>
    <w:rsid w:val="000D2F28"/>
    <w:rsid w:val="000D40A5"/>
    <w:rsid w:val="000D4D83"/>
    <w:rsid w:val="000D4EE1"/>
    <w:rsid w:val="000D5AF1"/>
    <w:rsid w:val="000D6977"/>
    <w:rsid w:val="000D748E"/>
    <w:rsid w:val="000E1642"/>
    <w:rsid w:val="000E1FD4"/>
    <w:rsid w:val="000E2928"/>
    <w:rsid w:val="000E2DEA"/>
    <w:rsid w:val="000E308A"/>
    <w:rsid w:val="000E487C"/>
    <w:rsid w:val="000E4FF2"/>
    <w:rsid w:val="000E5089"/>
    <w:rsid w:val="000E63B1"/>
    <w:rsid w:val="000E699F"/>
    <w:rsid w:val="000E7786"/>
    <w:rsid w:val="000F011B"/>
    <w:rsid w:val="000F02E9"/>
    <w:rsid w:val="000F0909"/>
    <w:rsid w:val="000F0E69"/>
    <w:rsid w:val="000F1E47"/>
    <w:rsid w:val="000F2A93"/>
    <w:rsid w:val="000F3BEE"/>
    <w:rsid w:val="000F3E2F"/>
    <w:rsid w:val="000F408D"/>
    <w:rsid w:val="000F4450"/>
    <w:rsid w:val="000F54F9"/>
    <w:rsid w:val="000F5C03"/>
    <w:rsid w:val="000F5EA7"/>
    <w:rsid w:val="000F7735"/>
    <w:rsid w:val="00100AD8"/>
    <w:rsid w:val="00100E7C"/>
    <w:rsid w:val="001011DC"/>
    <w:rsid w:val="00101234"/>
    <w:rsid w:val="00102131"/>
    <w:rsid w:val="00102A21"/>
    <w:rsid w:val="00102B75"/>
    <w:rsid w:val="00103F97"/>
    <w:rsid w:val="00104CF9"/>
    <w:rsid w:val="001052B1"/>
    <w:rsid w:val="00105515"/>
    <w:rsid w:val="0010651D"/>
    <w:rsid w:val="00106937"/>
    <w:rsid w:val="00106C13"/>
    <w:rsid w:val="00106FCB"/>
    <w:rsid w:val="00107914"/>
    <w:rsid w:val="001107A4"/>
    <w:rsid w:val="00111BAC"/>
    <w:rsid w:val="001138B2"/>
    <w:rsid w:val="00114AF2"/>
    <w:rsid w:val="00114F15"/>
    <w:rsid w:val="001154DA"/>
    <w:rsid w:val="00116637"/>
    <w:rsid w:val="00116B9B"/>
    <w:rsid w:val="00116C14"/>
    <w:rsid w:val="001206C9"/>
    <w:rsid w:val="00120953"/>
    <w:rsid w:val="00120B34"/>
    <w:rsid w:val="00121ACA"/>
    <w:rsid w:val="00121DA6"/>
    <w:rsid w:val="0012276B"/>
    <w:rsid w:val="00124322"/>
    <w:rsid w:val="0012563D"/>
    <w:rsid w:val="001261FC"/>
    <w:rsid w:val="001274C9"/>
    <w:rsid w:val="00127C91"/>
    <w:rsid w:val="00130882"/>
    <w:rsid w:val="00130AAD"/>
    <w:rsid w:val="001315C2"/>
    <w:rsid w:val="00131822"/>
    <w:rsid w:val="0013203F"/>
    <w:rsid w:val="00133CBF"/>
    <w:rsid w:val="001346C8"/>
    <w:rsid w:val="00134816"/>
    <w:rsid w:val="00134A40"/>
    <w:rsid w:val="00134E73"/>
    <w:rsid w:val="001357CF"/>
    <w:rsid w:val="00140C0D"/>
    <w:rsid w:val="00141D85"/>
    <w:rsid w:val="00142174"/>
    <w:rsid w:val="001428B9"/>
    <w:rsid w:val="0014336D"/>
    <w:rsid w:val="00143ACC"/>
    <w:rsid w:val="001443D4"/>
    <w:rsid w:val="00144808"/>
    <w:rsid w:val="0014501B"/>
    <w:rsid w:val="00147347"/>
    <w:rsid w:val="001503EE"/>
    <w:rsid w:val="0015071C"/>
    <w:rsid w:val="0015095D"/>
    <w:rsid w:val="00150E34"/>
    <w:rsid w:val="00152997"/>
    <w:rsid w:val="00152E17"/>
    <w:rsid w:val="00152F20"/>
    <w:rsid w:val="001535BD"/>
    <w:rsid w:val="00153FD0"/>
    <w:rsid w:val="001548C5"/>
    <w:rsid w:val="00154D27"/>
    <w:rsid w:val="0015576A"/>
    <w:rsid w:val="001570DD"/>
    <w:rsid w:val="00157BD3"/>
    <w:rsid w:val="00160558"/>
    <w:rsid w:val="00160959"/>
    <w:rsid w:val="00160B77"/>
    <w:rsid w:val="001615DD"/>
    <w:rsid w:val="00161D42"/>
    <w:rsid w:val="001620EE"/>
    <w:rsid w:val="00162D7D"/>
    <w:rsid w:val="00163874"/>
    <w:rsid w:val="00163900"/>
    <w:rsid w:val="001647EB"/>
    <w:rsid w:val="00165F91"/>
    <w:rsid w:val="0016600D"/>
    <w:rsid w:val="001672CC"/>
    <w:rsid w:val="00170477"/>
    <w:rsid w:val="00172652"/>
    <w:rsid w:val="00173B0C"/>
    <w:rsid w:val="00175203"/>
    <w:rsid w:val="00176014"/>
    <w:rsid w:val="00176B34"/>
    <w:rsid w:val="00176E7B"/>
    <w:rsid w:val="0017702A"/>
    <w:rsid w:val="001770F9"/>
    <w:rsid w:val="0018041D"/>
    <w:rsid w:val="001808AE"/>
    <w:rsid w:val="00180B78"/>
    <w:rsid w:val="00180B89"/>
    <w:rsid w:val="00181483"/>
    <w:rsid w:val="001837ED"/>
    <w:rsid w:val="001839EE"/>
    <w:rsid w:val="00183DE4"/>
    <w:rsid w:val="00183EF2"/>
    <w:rsid w:val="00184741"/>
    <w:rsid w:val="00184A13"/>
    <w:rsid w:val="00185CD5"/>
    <w:rsid w:val="001868D0"/>
    <w:rsid w:val="00191B31"/>
    <w:rsid w:val="00192C60"/>
    <w:rsid w:val="00192DAD"/>
    <w:rsid w:val="00193280"/>
    <w:rsid w:val="00193663"/>
    <w:rsid w:val="00193B9D"/>
    <w:rsid w:val="00194324"/>
    <w:rsid w:val="00194F0B"/>
    <w:rsid w:val="00195C49"/>
    <w:rsid w:val="00197A91"/>
    <w:rsid w:val="00197CB1"/>
    <w:rsid w:val="001A1609"/>
    <w:rsid w:val="001A1DEC"/>
    <w:rsid w:val="001A1ECE"/>
    <w:rsid w:val="001A4B33"/>
    <w:rsid w:val="001A4FAA"/>
    <w:rsid w:val="001A69D7"/>
    <w:rsid w:val="001A7CF0"/>
    <w:rsid w:val="001B0234"/>
    <w:rsid w:val="001B091D"/>
    <w:rsid w:val="001B1067"/>
    <w:rsid w:val="001B16D5"/>
    <w:rsid w:val="001B1B46"/>
    <w:rsid w:val="001B247B"/>
    <w:rsid w:val="001B2986"/>
    <w:rsid w:val="001B2D57"/>
    <w:rsid w:val="001B36E3"/>
    <w:rsid w:val="001B3A20"/>
    <w:rsid w:val="001B3C12"/>
    <w:rsid w:val="001B45A8"/>
    <w:rsid w:val="001B706C"/>
    <w:rsid w:val="001B7274"/>
    <w:rsid w:val="001B7338"/>
    <w:rsid w:val="001B7967"/>
    <w:rsid w:val="001B79D9"/>
    <w:rsid w:val="001B7E9D"/>
    <w:rsid w:val="001C1373"/>
    <w:rsid w:val="001C17B4"/>
    <w:rsid w:val="001C1A2A"/>
    <w:rsid w:val="001C2043"/>
    <w:rsid w:val="001C2179"/>
    <w:rsid w:val="001C3145"/>
    <w:rsid w:val="001C315C"/>
    <w:rsid w:val="001C3CED"/>
    <w:rsid w:val="001C4CB0"/>
    <w:rsid w:val="001C4EB3"/>
    <w:rsid w:val="001C5E56"/>
    <w:rsid w:val="001C5FDE"/>
    <w:rsid w:val="001C6BD8"/>
    <w:rsid w:val="001C783F"/>
    <w:rsid w:val="001D0ADE"/>
    <w:rsid w:val="001D1FB1"/>
    <w:rsid w:val="001D21DF"/>
    <w:rsid w:val="001D2ED2"/>
    <w:rsid w:val="001D43EB"/>
    <w:rsid w:val="001D609D"/>
    <w:rsid w:val="001D667F"/>
    <w:rsid w:val="001D67B7"/>
    <w:rsid w:val="001D739C"/>
    <w:rsid w:val="001E1154"/>
    <w:rsid w:val="001E1AC0"/>
    <w:rsid w:val="001E2594"/>
    <w:rsid w:val="001E2E14"/>
    <w:rsid w:val="001E4839"/>
    <w:rsid w:val="001E4EC3"/>
    <w:rsid w:val="001E704F"/>
    <w:rsid w:val="001E786F"/>
    <w:rsid w:val="001F0AE6"/>
    <w:rsid w:val="001F1505"/>
    <w:rsid w:val="001F1F92"/>
    <w:rsid w:val="001F24B2"/>
    <w:rsid w:val="001F32DD"/>
    <w:rsid w:val="001F4243"/>
    <w:rsid w:val="001F4790"/>
    <w:rsid w:val="001F6C52"/>
    <w:rsid w:val="001F7F04"/>
    <w:rsid w:val="00200B09"/>
    <w:rsid w:val="002010CA"/>
    <w:rsid w:val="002012A1"/>
    <w:rsid w:val="002018A3"/>
    <w:rsid w:val="002028AA"/>
    <w:rsid w:val="002028FA"/>
    <w:rsid w:val="00202A57"/>
    <w:rsid w:val="00203DAD"/>
    <w:rsid w:val="0020415F"/>
    <w:rsid w:val="00204FFB"/>
    <w:rsid w:val="00206AE3"/>
    <w:rsid w:val="00206D23"/>
    <w:rsid w:val="00210186"/>
    <w:rsid w:val="00211995"/>
    <w:rsid w:val="00212DA0"/>
    <w:rsid w:val="002131C0"/>
    <w:rsid w:val="00215428"/>
    <w:rsid w:val="002154D7"/>
    <w:rsid w:val="002158A8"/>
    <w:rsid w:val="00215B68"/>
    <w:rsid w:val="00216254"/>
    <w:rsid w:val="002168AF"/>
    <w:rsid w:val="00217936"/>
    <w:rsid w:val="00221F7D"/>
    <w:rsid w:val="00222720"/>
    <w:rsid w:val="00222B8C"/>
    <w:rsid w:val="00223182"/>
    <w:rsid w:val="0022362E"/>
    <w:rsid w:val="0022700C"/>
    <w:rsid w:val="00227EC5"/>
    <w:rsid w:val="002314FA"/>
    <w:rsid w:val="0023152E"/>
    <w:rsid w:val="0023171A"/>
    <w:rsid w:val="0023258B"/>
    <w:rsid w:val="00233584"/>
    <w:rsid w:val="0023388E"/>
    <w:rsid w:val="00233B83"/>
    <w:rsid w:val="00235FC2"/>
    <w:rsid w:val="00236089"/>
    <w:rsid w:val="00236EA5"/>
    <w:rsid w:val="002422AD"/>
    <w:rsid w:val="002427E5"/>
    <w:rsid w:val="00242A31"/>
    <w:rsid w:val="00242D88"/>
    <w:rsid w:val="00242EFC"/>
    <w:rsid w:val="00244012"/>
    <w:rsid w:val="002457F9"/>
    <w:rsid w:val="00246424"/>
    <w:rsid w:val="00247845"/>
    <w:rsid w:val="0025015F"/>
    <w:rsid w:val="00251CC0"/>
    <w:rsid w:val="00251ECE"/>
    <w:rsid w:val="0025308D"/>
    <w:rsid w:val="00253B64"/>
    <w:rsid w:val="002541BD"/>
    <w:rsid w:val="002551D4"/>
    <w:rsid w:val="002556C2"/>
    <w:rsid w:val="00256579"/>
    <w:rsid w:val="00256EC3"/>
    <w:rsid w:val="00256F8D"/>
    <w:rsid w:val="00260141"/>
    <w:rsid w:val="002606D4"/>
    <w:rsid w:val="00260EFB"/>
    <w:rsid w:val="0026134F"/>
    <w:rsid w:val="00261584"/>
    <w:rsid w:val="0026248E"/>
    <w:rsid w:val="0026260A"/>
    <w:rsid w:val="002634B4"/>
    <w:rsid w:val="002634E8"/>
    <w:rsid w:val="00263E17"/>
    <w:rsid w:val="00263E4C"/>
    <w:rsid w:val="00265200"/>
    <w:rsid w:val="00266377"/>
    <w:rsid w:val="002665DD"/>
    <w:rsid w:val="002670F6"/>
    <w:rsid w:val="00270443"/>
    <w:rsid w:val="00270FFE"/>
    <w:rsid w:val="00271741"/>
    <w:rsid w:val="002736DC"/>
    <w:rsid w:val="002742CA"/>
    <w:rsid w:val="00274DF5"/>
    <w:rsid w:val="00274FDD"/>
    <w:rsid w:val="0027645F"/>
    <w:rsid w:val="00277CC9"/>
    <w:rsid w:val="00277DAF"/>
    <w:rsid w:val="00280330"/>
    <w:rsid w:val="00280480"/>
    <w:rsid w:val="00281194"/>
    <w:rsid w:val="002818A3"/>
    <w:rsid w:val="00283159"/>
    <w:rsid w:val="00283194"/>
    <w:rsid w:val="002834FC"/>
    <w:rsid w:val="00284187"/>
    <w:rsid w:val="00284403"/>
    <w:rsid w:val="0028518E"/>
    <w:rsid w:val="002853BD"/>
    <w:rsid w:val="00285AC7"/>
    <w:rsid w:val="00286BC3"/>
    <w:rsid w:val="00287127"/>
    <w:rsid w:val="00287CD4"/>
    <w:rsid w:val="0029080D"/>
    <w:rsid w:val="002909DE"/>
    <w:rsid w:val="00290A7A"/>
    <w:rsid w:val="0029102D"/>
    <w:rsid w:val="00291379"/>
    <w:rsid w:val="00294B3C"/>
    <w:rsid w:val="00296DAB"/>
    <w:rsid w:val="00296DC4"/>
    <w:rsid w:val="00296F18"/>
    <w:rsid w:val="00297D25"/>
    <w:rsid w:val="00297F9A"/>
    <w:rsid w:val="002A10FE"/>
    <w:rsid w:val="002A1EA0"/>
    <w:rsid w:val="002A2106"/>
    <w:rsid w:val="002A216D"/>
    <w:rsid w:val="002A3935"/>
    <w:rsid w:val="002A3DEC"/>
    <w:rsid w:val="002A4A2B"/>
    <w:rsid w:val="002A57CE"/>
    <w:rsid w:val="002A5A6D"/>
    <w:rsid w:val="002A612C"/>
    <w:rsid w:val="002A6AE5"/>
    <w:rsid w:val="002A6E26"/>
    <w:rsid w:val="002A776C"/>
    <w:rsid w:val="002B142E"/>
    <w:rsid w:val="002B210B"/>
    <w:rsid w:val="002B2C4C"/>
    <w:rsid w:val="002B37D7"/>
    <w:rsid w:val="002B5645"/>
    <w:rsid w:val="002B6B4D"/>
    <w:rsid w:val="002B7009"/>
    <w:rsid w:val="002B7CED"/>
    <w:rsid w:val="002B7E63"/>
    <w:rsid w:val="002C07BE"/>
    <w:rsid w:val="002C0F37"/>
    <w:rsid w:val="002C16F3"/>
    <w:rsid w:val="002C1E98"/>
    <w:rsid w:val="002C2C4D"/>
    <w:rsid w:val="002C331F"/>
    <w:rsid w:val="002C4186"/>
    <w:rsid w:val="002C4231"/>
    <w:rsid w:val="002C5A13"/>
    <w:rsid w:val="002C60BF"/>
    <w:rsid w:val="002C64CB"/>
    <w:rsid w:val="002C6920"/>
    <w:rsid w:val="002C7C2E"/>
    <w:rsid w:val="002D0190"/>
    <w:rsid w:val="002D22AC"/>
    <w:rsid w:val="002D267F"/>
    <w:rsid w:val="002D2687"/>
    <w:rsid w:val="002D2DC6"/>
    <w:rsid w:val="002D2ED6"/>
    <w:rsid w:val="002D3CC1"/>
    <w:rsid w:val="002D3DC9"/>
    <w:rsid w:val="002D4315"/>
    <w:rsid w:val="002D4999"/>
    <w:rsid w:val="002D5134"/>
    <w:rsid w:val="002D5298"/>
    <w:rsid w:val="002D61EA"/>
    <w:rsid w:val="002D68D8"/>
    <w:rsid w:val="002D7C1D"/>
    <w:rsid w:val="002D7ED8"/>
    <w:rsid w:val="002E08EE"/>
    <w:rsid w:val="002E2A81"/>
    <w:rsid w:val="002E343B"/>
    <w:rsid w:val="002E3F9B"/>
    <w:rsid w:val="002E4D01"/>
    <w:rsid w:val="002E5496"/>
    <w:rsid w:val="002E6190"/>
    <w:rsid w:val="002E79A1"/>
    <w:rsid w:val="002F0021"/>
    <w:rsid w:val="002F07C0"/>
    <w:rsid w:val="002F07F0"/>
    <w:rsid w:val="002F0894"/>
    <w:rsid w:val="002F23B0"/>
    <w:rsid w:val="002F2411"/>
    <w:rsid w:val="002F2421"/>
    <w:rsid w:val="002F2930"/>
    <w:rsid w:val="002F2C17"/>
    <w:rsid w:val="002F3A3B"/>
    <w:rsid w:val="002F51BD"/>
    <w:rsid w:val="002F58D2"/>
    <w:rsid w:val="002F5AC2"/>
    <w:rsid w:val="002F5E64"/>
    <w:rsid w:val="002F5EF0"/>
    <w:rsid w:val="002F7960"/>
    <w:rsid w:val="00300B23"/>
    <w:rsid w:val="00300E3F"/>
    <w:rsid w:val="00301C45"/>
    <w:rsid w:val="00302113"/>
    <w:rsid w:val="00302918"/>
    <w:rsid w:val="00302BD1"/>
    <w:rsid w:val="00303071"/>
    <w:rsid w:val="0030363B"/>
    <w:rsid w:val="00303680"/>
    <w:rsid w:val="0030490D"/>
    <w:rsid w:val="0031074A"/>
    <w:rsid w:val="00310CEF"/>
    <w:rsid w:val="003110CF"/>
    <w:rsid w:val="003120E1"/>
    <w:rsid w:val="00312C2A"/>
    <w:rsid w:val="00312C37"/>
    <w:rsid w:val="003130D7"/>
    <w:rsid w:val="003136C7"/>
    <w:rsid w:val="00313CEA"/>
    <w:rsid w:val="00313F0C"/>
    <w:rsid w:val="00315DAA"/>
    <w:rsid w:val="003173D9"/>
    <w:rsid w:val="00317F10"/>
    <w:rsid w:val="00320A50"/>
    <w:rsid w:val="00320A58"/>
    <w:rsid w:val="003213F7"/>
    <w:rsid w:val="00321947"/>
    <w:rsid w:val="00321B21"/>
    <w:rsid w:val="00321D02"/>
    <w:rsid w:val="003235F5"/>
    <w:rsid w:val="003241ED"/>
    <w:rsid w:val="003268CB"/>
    <w:rsid w:val="00326F07"/>
    <w:rsid w:val="00327282"/>
    <w:rsid w:val="0032759A"/>
    <w:rsid w:val="00327AE4"/>
    <w:rsid w:val="00327D49"/>
    <w:rsid w:val="00330227"/>
    <w:rsid w:val="00331F60"/>
    <w:rsid w:val="00332140"/>
    <w:rsid w:val="00332174"/>
    <w:rsid w:val="003333FC"/>
    <w:rsid w:val="0033341F"/>
    <w:rsid w:val="00334CD4"/>
    <w:rsid w:val="00334FBF"/>
    <w:rsid w:val="003352F1"/>
    <w:rsid w:val="0033599E"/>
    <w:rsid w:val="00335BB8"/>
    <w:rsid w:val="00335D1E"/>
    <w:rsid w:val="003367AC"/>
    <w:rsid w:val="00336B6A"/>
    <w:rsid w:val="00337F05"/>
    <w:rsid w:val="003400B7"/>
    <w:rsid w:val="003403C3"/>
    <w:rsid w:val="003406E4"/>
    <w:rsid w:val="00340D5A"/>
    <w:rsid w:val="003416CD"/>
    <w:rsid w:val="00341CFD"/>
    <w:rsid w:val="0034210C"/>
    <w:rsid w:val="0034283C"/>
    <w:rsid w:val="00342962"/>
    <w:rsid w:val="00342D83"/>
    <w:rsid w:val="003431FF"/>
    <w:rsid w:val="00343411"/>
    <w:rsid w:val="00343D11"/>
    <w:rsid w:val="003457A0"/>
    <w:rsid w:val="00345F20"/>
    <w:rsid w:val="00346940"/>
    <w:rsid w:val="00346D7F"/>
    <w:rsid w:val="003504D3"/>
    <w:rsid w:val="00350A3F"/>
    <w:rsid w:val="00350FC0"/>
    <w:rsid w:val="0035148B"/>
    <w:rsid w:val="00351566"/>
    <w:rsid w:val="0035160B"/>
    <w:rsid w:val="00352313"/>
    <w:rsid w:val="003523C4"/>
    <w:rsid w:val="00352458"/>
    <w:rsid w:val="00353514"/>
    <w:rsid w:val="003538A5"/>
    <w:rsid w:val="003548AB"/>
    <w:rsid w:val="00355791"/>
    <w:rsid w:val="00355A90"/>
    <w:rsid w:val="0035750F"/>
    <w:rsid w:val="0036042B"/>
    <w:rsid w:val="003610B5"/>
    <w:rsid w:val="00361A34"/>
    <w:rsid w:val="00361C5C"/>
    <w:rsid w:val="003626E6"/>
    <w:rsid w:val="003639C3"/>
    <w:rsid w:val="00363BB4"/>
    <w:rsid w:val="003644BF"/>
    <w:rsid w:val="00365035"/>
    <w:rsid w:val="00365190"/>
    <w:rsid w:val="00365637"/>
    <w:rsid w:val="003678A7"/>
    <w:rsid w:val="003706BE"/>
    <w:rsid w:val="00370706"/>
    <w:rsid w:val="003708EC"/>
    <w:rsid w:val="003710AB"/>
    <w:rsid w:val="003711E3"/>
    <w:rsid w:val="003727A6"/>
    <w:rsid w:val="00372B41"/>
    <w:rsid w:val="00374F8E"/>
    <w:rsid w:val="003763D5"/>
    <w:rsid w:val="0037656B"/>
    <w:rsid w:val="003769FD"/>
    <w:rsid w:val="0038020B"/>
    <w:rsid w:val="003802E8"/>
    <w:rsid w:val="00380432"/>
    <w:rsid w:val="00381307"/>
    <w:rsid w:val="00381FE0"/>
    <w:rsid w:val="00382AD2"/>
    <w:rsid w:val="00382B91"/>
    <w:rsid w:val="00384B59"/>
    <w:rsid w:val="00384E32"/>
    <w:rsid w:val="003855C5"/>
    <w:rsid w:val="0038563E"/>
    <w:rsid w:val="003856B1"/>
    <w:rsid w:val="00385713"/>
    <w:rsid w:val="0038573A"/>
    <w:rsid w:val="00385775"/>
    <w:rsid w:val="00385CAA"/>
    <w:rsid w:val="003860BE"/>
    <w:rsid w:val="00386CFF"/>
    <w:rsid w:val="003876AE"/>
    <w:rsid w:val="003878D8"/>
    <w:rsid w:val="00387DB0"/>
    <w:rsid w:val="00390C61"/>
    <w:rsid w:val="0039136D"/>
    <w:rsid w:val="00391563"/>
    <w:rsid w:val="00391589"/>
    <w:rsid w:val="00392087"/>
    <w:rsid w:val="00392440"/>
    <w:rsid w:val="00393732"/>
    <w:rsid w:val="003940C2"/>
    <w:rsid w:val="003947C6"/>
    <w:rsid w:val="003957BA"/>
    <w:rsid w:val="003961A1"/>
    <w:rsid w:val="003975EB"/>
    <w:rsid w:val="003A0C9E"/>
    <w:rsid w:val="003A183E"/>
    <w:rsid w:val="003A2553"/>
    <w:rsid w:val="003A3F4C"/>
    <w:rsid w:val="003A462D"/>
    <w:rsid w:val="003A4799"/>
    <w:rsid w:val="003A4E42"/>
    <w:rsid w:val="003A5206"/>
    <w:rsid w:val="003A57FB"/>
    <w:rsid w:val="003A62F9"/>
    <w:rsid w:val="003A666E"/>
    <w:rsid w:val="003B022B"/>
    <w:rsid w:val="003B0407"/>
    <w:rsid w:val="003B1270"/>
    <w:rsid w:val="003B1565"/>
    <w:rsid w:val="003B24FD"/>
    <w:rsid w:val="003B3FAB"/>
    <w:rsid w:val="003B42FA"/>
    <w:rsid w:val="003B4E5C"/>
    <w:rsid w:val="003B4F79"/>
    <w:rsid w:val="003B5FC8"/>
    <w:rsid w:val="003B6628"/>
    <w:rsid w:val="003B66D9"/>
    <w:rsid w:val="003B7309"/>
    <w:rsid w:val="003B7646"/>
    <w:rsid w:val="003B78E6"/>
    <w:rsid w:val="003C16DB"/>
    <w:rsid w:val="003C223C"/>
    <w:rsid w:val="003C2A05"/>
    <w:rsid w:val="003C35B6"/>
    <w:rsid w:val="003C42E2"/>
    <w:rsid w:val="003C5578"/>
    <w:rsid w:val="003C572E"/>
    <w:rsid w:val="003C6209"/>
    <w:rsid w:val="003C62BD"/>
    <w:rsid w:val="003C652C"/>
    <w:rsid w:val="003C6A8E"/>
    <w:rsid w:val="003C6EE5"/>
    <w:rsid w:val="003C7316"/>
    <w:rsid w:val="003C7483"/>
    <w:rsid w:val="003C76B5"/>
    <w:rsid w:val="003D03DA"/>
    <w:rsid w:val="003D03DC"/>
    <w:rsid w:val="003D080C"/>
    <w:rsid w:val="003D0EAC"/>
    <w:rsid w:val="003D14A5"/>
    <w:rsid w:val="003D1B55"/>
    <w:rsid w:val="003D211C"/>
    <w:rsid w:val="003D2339"/>
    <w:rsid w:val="003D2A59"/>
    <w:rsid w:val="003D361C"/>
    <w:rsid w:val="003D562F"/>
    <w:rsid w:val="003D5699"/>
    <w:rsid w:val="003D6D0E"/>
    <w:rsid w:val="003D7994"/>
    <w:rsid w:val="003E173E"/>
    <w:rsid w:val="003E1D43"/>
    <w:rsid w:val="003E2479"/>
    <w:rsid w:val="003E2A3C"/>
    <w:rsid w:val="003E3273"/>
    <w:rsid w:val="003E3953"/>
    <w:rsid w:val="003E45BD"/>
    <w:rsid w:val="003E4DA5"/>
    <w:rsid w:val="003E57C1"/>
    <w:rsid w:val="003E5D78"/>
    <w:rsid w:val="003E660E"/>
    <w:rsid w:val="003E66BA"/>
    <w:rsid w:val="003E70D6"/>
    <w:rsid w:val="003E7782"/>
    <w:rsid w:val="003F12C2"/>
    <w:rsid w:val="003F39C1"/>
    <w:rsid w:val="003F7BB9"/>
    <w:rsid w:val="00401AB7"/>
    <w:rsid w:val="0040217B"/>
    <w:rsid w:val="004023FC"/>
    <w:rsid w:val="00403160"/>
    <w:rsid w:val="00403695"/>
    <w:rsid w:val="004039AA"/>
    <w:rsid w:val="00403AE3"/>
    <w:rsid w:val="0040550C"/>
    <w:rsid w:val="004056D5"/>
    <w:rsid w:val="004068E6"/>
    <w:rsid w:val="00406A63"/>
    <w:rsid w:val="00407A17"/>
    <w:rsid w:val="00407A51"/>
    <w:rsid w:val="00407FA1"/>
    <w:rsid w:val="00410EDB"/>
    <w:rsid w:val="00411CB2"/>
    <w:rsid w:val="00412C00"/>
    <w:rsid w:val="004141DA"/>
    <w:rsid w:val="0041474E"/>
    <w:rsid w:val="00414BE6"/>
    <w:rsid w:val="0041559E"/>
    <w:rsid w:val="00415650"/>
    <w:rsid w:val="004160AA"/>
    <w:rsid w:val="00416D00"/>
    <w:rsid w:val="00416FA3"/>
    <w:rsid w:val="004211D8"/>
    <w:rsid w:val="00421AC7"/>
    <w:rsid w:val="00421CF4"/>
    <w:rsid w:val="004221A7"/>
    <w:rsid w:val="0042259F"/>
    <w:rsid w:val="00424948"/>
    <w:rsid w:val="00425356"/>
    <w:rsid w:val="00425AB0"/>
    <w:rsid w:val="004263E5"/>
    <w:rsid w:val="00426671"/>
    <w:rsid w:val="00426690"/>
    <w:rsid w:val="004279E4"/>
    <w:rsid w:val="00431212"/>
    <w:rsid w:val="00431718"/>
    <w:rsid w:val="00431B40"/>
    <w:rsid w:val="00432BD5"/>
    <w:rsid w:val="00432EBF"/>
    <w:rsid w:val="00433978"/>
    <w:rsid w:val="0043446C"/>
    <w:rsid w:val="00434FC9"/>
    <w:rsid w:val="004367D7"/>
    <w:rsid w:val="0043681A"/>
    <w:rsid w:val="0043692D"/>
    <w:rsid w:val="00436ECE"/>
    <w:rsid w:val="00440223"/>
    <w:rsid w:val="00440A92"/>
    <w:rsid w:val="00440B2C"/>
    <w:rsid w:val="00440E16"/>
    <w:rsid w:val="00441E96"/>
    <w:rsid w:val="00441F87"/>
    <w:rsid w:val="004423A8"/>
    <w:rsid w:val="00442A24"/>
    <w:rsid w:val="00442ACC"/>
    <w:rsid w:val="00444387"/>
    <w:rsid w:val="00444761"/>
    <w:rsid w:val="00445281"/>
    <w:rsid w:val="004465D2"/>
    <w:rsid w:val="00446F50"/>
    <w:rsid w:val="00447348"/>
    <w:rsid w:val="00447353"/>
    <w:rsid w:val="00447AF6"/>
    <w:rsid w:val="00447B12"/>
    <w:rsid w:val="00447CA3"/>
    <w:rsid w:val="00447FF2"/>
    <w:rsid w:val="00451B0C"/>
    <w:rsid w:val="00452ADB"/>
    <w:rsid w:val="00452E87"/>
    <w:rsid w:val="0045404B"/>
    <w:rsid w:val="0045539F"/>
    <w:rsid w:val="00456262"/>
    <w:rsid w:val="00456D7D"/>
    <w:rsid w:val="00460FCB"/>
    <w:rsid w:val="00461202"/>
    <w:rsid w:val="004612F2"/>
    <w:rsid w:val="00464C96"/>
    <w:rsid w:val="00465A43"/>
    <w:rsid w:val="00465AFE"/>
    <w:rsid w:val="00466978"/>
    <w:rsid w:val="0046735C"/>
    <w:rsid w:val="00467C62"/>
    <w:rsid w:val="004701FF"/>
    <w:rsid w:val="0047053E"/>
    <w:rsid w:val="00470541"/>
    <w:rsid w:val="00471557"/>
    <w:rsid w:val="00471A84"/>
    <w:rsid w:val="00471C16"/>
    <w:rsid w:val="00471E55"/>
    <w:rsid w:val="004725B7"/>
    <w:rsid w:val="0047353B"/>
    <w:rsid w:val="00474735"/>
    <w:rsid w:val="00475D03"/>
    <w:rsid w:val="00477662"/>
    <w:rsid w:val="00480B2E"/>
    <w:rsid w:val="0048138F"/>
    <w:rsid w:val="004815A0"/>
    <w:rsid w:val="00483569"/>
    <w:rsid w:val="00485AC6"/>
    <w:rsid w:val="0048619F"/>
    <w:rsid w:val="00486261"/>
    <w:rsid w:val="004863D1"/>
    <w:rsid w:val="004866AA"/>
    <w:rsid w:val="0048719C"/>
    <w:rsid w:val="00487943"/>
    <w:rsid w:val="00487F12"/>
    <w:rsid w:val="00491BDE"/>
    <w:rsid w:val="00492116"/>
    <w:rsid w:val="00492147"/>
    <w:rsid w:val="00493311"/>
    <w:rsid w:val="0049417B"/>
    <w:rsid w:val="004950EE"/>
    <w:rsid w:val="004955FE"/>
    <w:rsid w:val="004958EF"/>
    <w:rsid w:val="00495B66"/>
    <w:rsid w:val="00496317"/>
    <w:rsid w:val="00496A83"/>
    <w:rsid w:val="00496D5D"/>
    <w:rsid w:val="004A0546"/>
    <w:rsid w:val="004A0C8E"/>
    <w:rsid w:val="004A197A"/>
    <w:rsid w:val="004A19E9"/>
    <w:rsid w:val="004A29B4"/>
    <w:rsid w:val="004A2E07"/>
    <w:rsid w:val="004A3568"/>
    <w:rsid w:val="004A376B"/>
    <w:rsid w:val="004A3F33"/>
    <w:rsid w:val="004A4234"/>
    <w:rsid w:val="004A5656"/>
    <w:rsid w:val="004A7325"/>
    <w:rsid w:val="004A7FF6"/>
    <w:rsid w:val="004B006A"/>
    <w:rsid w:val="004B0C55"/>
    <w:rsid w:val="004B107D"/>
    <w:rsid w:val="004B1C8D"/>
    <w:rsid w:val="004B26EE"/>
    <w:rsid w:val="004B2796"/>
    <w:rsid w:val="004B28FC"/>
    <w:rsid w:val="004B2AAA"/>
    <w:rsid w:val="004B4A55"/>
    <w:rsid w:val="004B5263"/>
    <w:rsid w:val="004B55E6"/>
    <w:rsid w:val="004B679C"/>
    <w:rsid w:val="004B6948"/>
    <w:rsid w:val="004B6EF5"/>
    <w:rsid w:val="004B790C"/>
    <w:rsid w:val="004C0172"/>
    <w:rsid w:val="004C0C20"/>
    <w:rsid w:val="004C0DC0"/>
    <w:rsid w:val="004C103D"/>
    <w:rsid w:val="004C1442"/>
    <w:rsid w:val="004C2D4D"/>
    <w:rsid w:val="004C3364"/>
    <w:rsid w:val="004C4CDC"/>
    <w:rsid w:val="004C5504"/>
    <w:rsid w:val="004C5D36"/>
    <w:rsid w:val="004C61E8"/>
    <w:rsid w:val="004C6FE8"/>
    <w:rsid w:val="004C718C"/>
    <w:rsid w:val="004C74B3"/>
    <w:rsid w:val="004C7A90"/>
    <w:rsid w:val="004C7F83"/>
    <w:rsid w:val="004D02C4"/>
    <w:rsid w:val="004D0AC6"/>
    <w:rsid w:val="004D0AC7"/>
    <w:rsid w:val="004D1A6F"/>
    <w:rsid w:val="004D34AF"/>
    <w:rsid w:val="004D3E1B"/>
    <w:rsid w:val="004D5CB6"/>
    <w:rsid w:val="004D6A49"/>
    <w:rsid w:val="004D776A"/>
    <w:rsid w:val="004D7F90"/>
    <w:rsid w:val="004E0735"/>
    <w:rsid w:val="004E1189"/>
    <w:rsid w:val="004E1722"/>
    <w:rsid w:val="004E1A28"/>
    <w:rsid w:val="004E1BA7"/>
    <w:rsid w:val="004E1D38"/>
    <w:rsid w:val="004E1DBC"/>
    <w:rsid w:val="004E2952"/>
    <w:rsid w:val="004E29E8"/>
    <w:rsid w:val="004E3115"/>
    <w:rsid w:val="004E38CA"/>
    <w:rsid w:val="004E3BEE"/>
    <w:rsid w:val="004E4A6D"/>
    <w:rsid w:val="004E60F2"/>
    <w:rsid w:val="004E6DE5"/>
    <w:rsid w:val="004E712C"/>
    <w:rsid w:val="004E7614"/>
    <w:rsid w:val="004E77DC"/>
    <w:rsid w:val="004E7AE0"/>
    <w:rsid w:val="004E7CAA"/>
    <w:rsid w:val="004F0A04"/>
    <w:rsid w:val="004F10C2"/>
    <w:rsid w:val="004F1677"/>
    <w:rsid w:val="004F1C18"/>
    <w:rsid w:val="004F32E3"/>
    <w:rsid w:val="004F35B6"/>
    <w:rsid w:val="004F47D2"/>
    <w:rsid w:val="004F5F2D"/>
    <w:rsid w:val="004F78B7"/>
    <w:rsid w:val="004F7C43"/>
    <w:rsid w:val="004F7F64"/>
    <w:rsid w:val="00500EAE"/>
    <w:rsid w:val="0050185A"/>
    <w:rsid w:val="00502A9B"/>
    <w:rsid w:val="00502AF8"/>
    <w:rsid w:val="00503237"/>
    <w:rsid w:val="00503836"/>
    <w:rsid w:val="00503E45"/>
    <w:rsid w:val="00504397"/>
    <w:rsid w:val="00505930"/>
    <w:rsid w:val="00507610"/>
    <w:rsid w:val="005079FF"/>
    <w:rsid w:val="00510F33"/>
    <w:rsid w:val="00510F79"/>
    <w:rsid w:val="005116CA"/>
    <w:rsid w:val="005131DD"/>
    <w:rsid w:val="00514346"/>
    <w:rsid w:val="00514496"/>
    <w:rsid w:val="00514B94"/>
    <w:rsid w:val="00514C03"/>
    <w:rsid w:val="00514C50"/>
    <w:rsid w:val="00515C03"/>
    <w:rsid w:val="00515F8B"/>
    <w:rsid w:val="005161CF"/>
    <w:rsid w:val="00516C82"/>
    <w:rsid w:val="00520352"/>
    <w:rsid w:val="00520372"/>
    <w:rsid w:val="00520E39"/>
    <w:rsid w:val="00522454"/>
    <w:rsid w:val="0052259B"/>
    <w:rsid w:val="00522ABA"/>
    <w:rsid w:val="00522E6F"/>
    <w:rsid w:val="005238E9"/>
    <w:rsid w:val="00523DF9"/>
    <w:rsid w:val="00524422"/>
    <w:rsid w:val="0052571F"/>
    <w:rsid w:val="0052648F"/>
    <w:rsid w:val="005269BF"/>
    <w:rsid w:val="00526E45"/>
    <w:rsid w:val="005308F6"/>
    <w:rsid w:val="00530ECC"/>
    <w:rsid w:val="00531A07"/>
    <w:rsid w:val="00531B00"/>
    <w:rsid w:val="00533DE5"/>
    <w:rsid w:val="00534A56"/>
    <w:rsid w:val="00534E50"/>
    <w:rsid w:val="00534EAF"/>
    <w:rsid w:val="00535120"/>
    <w:rsid w:val="005351CC"/>
    <w:rsid w:val="00535914"/>
    <w:rsid w:val="00535D4F"/>
    <w:rsid w:val="00536034"/>
    <w:rsid w:val="005365EB"/>
    <w:rsid w:val="00536C9F"/>
    <w:rsid w:val="00537230"/>
    <w:rsid w:val="00540E2F"/>
    <w:rsid w:val="00544919"/>
    <w:rsid w:val="0054497B"/>
    <w:rsid w:val="005453E2"/>
    <w:rsid w:val="00545963"/>
    <w:rsid w:val="00546BC9"/>
    <w:rsid w:val="005500FC"/>
    <w:rsid w:val="00550461"/>
    <w:rsid w:val="00550CF2"/>
    <w:rsid w:val="00551292"/>
    <w:rsid w:val="00552B81"/>
    <w:rsid w:val="0055413B"/>
    <w:rsid w:val="00554721"/>
    <w:rsid w:val="005551B9"/>
    <w:rsid w:val="005551EB"/>
    <w:rsid w:val="005556DC"/>
    <w:rsid w:val="0055615E"/>
    <w:rsid w:val="00556243"/>
    <w:rsid w:val="0055774B"/>
    <w:rsid w:val="00560C3F"/>
    <w:rsid w:val="00561218"/>
    <w:rsid w:val="0056149A"/>
    <w:rsid w:val="00563251"/>
    <w:rsid w:val="005641EA"/>
    <w:rsid w:val="00564502"/>
    <w:rsid w:val="00564BBE"/>
    <w:rsid w:val="00565508"/>
    <w:rsid w:val="005656F6"/>
    <w:rsid w:val="00567036"/>
    <w:rsid w:val="00567664"/>
    <w:rsid w:val="00567A59"/>
    <w:rsid w:val="005706D3"/>
    <w:rsid w:val="0057134D"/>
    <w:rsid w:val="00571727"/>
    <w:rsid w:val="00571B81"/>
    <w:rsid w:val="00573375"/>
    <w:rsid w:val="005737F9"/>
    <w:rsid w:val="005742CD"/>
    <w:rsid w:val="005744C1"/>
    <w:rsid w:val="00574634"/>
    <w:rsid w:val="00574B46"/>
    <w:rsid w:val="00575526"/>
    <w:rsid w:val="005758DB"/>
    <w:rsid w:val="005761B0"/>
    <w:rsid w:val="00577998"/>
    <w:rsid w:val="0058016E"/>
    <w:rsid w:val="00580743"/>
    <w:rsid w:val="00580D87"/>
    <w:rsid w:val="005815F1"/>
    <w:rsid w:val="005820CE"/>
    <w:rsid w:val="00582C62"/>
    <w:rsid w:val="0058363B"/>
    <w:rsid w:val="005843CE"/>
    <w:rsid w:val="00584AEE"/>
    <w:rsid w:val="00584E05"/>
    <w:rsid w:val="00585B3E"/>
    <w:rsid w:val="0058662E"/>
    <w:rsid w:val="0058692E"/>
    <w:rsid w:val="00586D75"/>
    <w:rsid w:val="005903C7"/>
    <w:rsid w:val="00590D09"/>
    <w:rsid w:val="005912D7"/>
    <w:rsid w:val="00591692"/>
    <w:rsid w:val="00591EAA"/>
    <w:rsid w:val="0059249B"/>
    <w:rsid w:val="0059271B"/>
    <w:rsid w:val="00592CA4"/>
    <w:rsid w:val="005941C2"/>
    <w:rsid w:val="0059425B"/>
    <w:rsid w:val="00594412"/>
    <w:rsid w:val="00594578"/>
    <w:rsid w:val="005948DC"/>
    <w:rsid w:val="00594B82"/>
    <w:rsid w:val="0059560E"/>
    <w:rsid w:val="005961A6"/>
    <w:rsid w:val="0059662B"/>
    <w:rsid w:val="005969AD"/>
    <w:rsid w:val="00597A0C"/>
    <w:rsid w:val="00597CC0"/>
    <w:rsid w:val="00597D73"/>
    <w:rsid w:val="005A0505"/>
    <w:rsid w:val="005A1686"/>
    <w:rsid w:val="005A1CB1"/>
    <w:rsid w:val="005A2047"/>
    <w:rsid w:val="005A22C2"/>
    <w:rsid w:val="005A25F3"/>
    <w:rsid w:val="005A4A60"/>
    <w:rsid w:val="005A5F8E"/>
    <w:rsid w:val="005A76CC"/>
    <w:rsid w:val="005A7AB9"/>
    <w:rsid w:val="005B08AC"/>
    <w:rsid w:val="005B3E78"/>
    <w:rsid w:val="005B4982"/>
    <w:rsid w:val="005B5194"/>
    <w:rsid w:val="005B6130"/>
    <w:rsid w:val="005B69D7"/>
    <w:rsid w:val="005B6FEB"/>
    <w:rsid w:val="005B7F19"/>
    <w:rsid w:val="005C00B1"/>
    <w:rsid w:val="005C0193"/>
    <w:rsid w:val="005C2376"/>
    <w:rsid w:val="005C271C"/>
    <w:rsid w:val="005C401F"/>
    <w:rsid w:val="005C4451"/>
    <w:rsid w:val="005C4791"/>
    <w:rsid w:val="005C4979"/>
    <w:rsid w:val="005C4ABC"/>
    <w:rsid w:val="005C4F49"/>
    <w:rsid w:val="005C52B6"/>
    <w:rsid w:val="005C53B9"/>
    <w:rsid w:val="005C6683"/>
    <w:rsid w:val="005C73FF"/>
    <w:rsid w:val="005D0C46"/>
    <w:rsid w:val="005D0CF1"/>
    <w:rsid w:val="005D1662"/>
    <w:rsid w:val="005D1AD9"/>
    <w:rsid w:val="005D237A"/>
    <w:rsid w:val="005D2487"/>
    <w:rsid w:val="005D418C"/>
    <w:rsid w:val="005D4484"/>
    <w:rsid w:val="005D5C3E"/>
    <w:rsid w:val="005D639E"/>
    <w:rsid w:val="005E0328"/>
    <w:rsid w:val="005E09F1"/>
    <w:rsid w:val="005E1C32"/>
    <w:rsid w:val="005E26C3"/>
    <w:rsid w:val="005E2A05"/>
    <w:rsid w:val="005E3045"/>
    <w:rsid w:val="005E3301"/>
    <w:rsid w:val="005E47F4"/>
    <w:rsid w:val="005E5081"/>
    <w:rsid w:val="005E5C78"/>
    <w:rsid w:val="005E7181"/>
    <w:rsid w:val="005F263E"/>
    <w:rsid w:val="005F2936"/>
    <w:rsid w:val="005F2E21"/>
    <w:rsid w:val="005F4A54"/>
    <w:rsid w:val="005F5CAD"/>
    <w:rsid w:val="005F61DC"/>
    <w:rsid w:val="005F664A"/>
    <w:rsid w:val="005F6B34"/>
    <w:rsid w:val="005F6B4B"/>
    <w:rsid w:val="005F7C97"/>
    <w:rsid w:val="0060020D"/>
    <w:rsid w:val="006003D9"/>
    <w:rsid w:val="006022F7"/>
    <w:rsid w:val="00602656"/>
    <w:rsid w:val="006041FC"/>
    <w:rsid w:val="006043B8"/>
    <w:rsid w:val="00604999"/>
    <w:rsid w:val="00604C55"/>
    <w:rsid w:val="0060610B"/>
    <w:rsid w:val="00606B2E"/>
    <w:rsid w:val="00606BCE"/>
    <w:rsid w:val="006070D1"/>
    <w:rsid w:val="00610059"/>
    <w:rsid w:val="00610698"/>
    <w:rsid w:val="00611E5B"/>
    <w:rsid w:val="006121F9"/>
    <w:rsid w:val="00612536"/>
    <w:rsid w:val="006127C5"/>
    <w:rsid w:val="00613676"/>
    <w:rsid w:val="00613AB6"/>
    <w:rsid w:val="006151AE"/>
    <w:rsid w:val="00615C04"/>
    <w:rsid w:val="006170CD"/>
    <w:rsid w:val="006176BD"/>
    <w:rsid w:val="00617BB5"/>
    <w:rsid w:val="00620896"/>
    <w:rsid w:val="006211A2"/>
    <w:rsid w:val="00621C39"/>
    <w:rsid w:val="006226A2"/>
    <w:rsid w:val="00622A12"/>
    <w:rsid w:val="00623BFE"/>
    <w:rsid w:val="00623EFB"/>
    <w:rsid w:val="006243A1"/>
    <w:rsid w:val="00627082"/>
    <w:rsid w:val="006274F2"/>
    <w:rsid w:val="00627C97"/>
    <w:rsid w:val="006305FD"/>
    <w:rsid w:val="00633B57"/>
    <w:rsid w:val="0063416B"/>
    <w:rsid w:val="006346EF"/>
    <w:rsid w:val="00634BAF"/>
    <w:rsid w:val="00635084"/>
    <w:rsid w:val="00635188"/>
    <w:rsid w:val="00635A49"/>
    <w:rsid w:val="00635D76"/>
    <w:rsid w:val="00635E79"/>
    <w:rsid w:val="0063629E"/>
    <w:rsid w:val="00636849"/>
    <w:rsid w:val="00636DB7"/>
    <w:rsid w:val="00637FA7"/>
    <w:rsid w:val="00640197"/>
    <w:rsid w:val="00641440"/>
    <w:rsid w:val="0064166D"/>
    <w:rsid w:val="00642B4F"/>
    <w:rsid w:val="00642ED3"/>
    <w:rsid w:val="006433C3"/>
    <w:rsid w:val="00643599"/>
    <w:rsid w:val="00645D75"/>
    <w:rsid w:val="00646056"/>
    <w:rsid w:val="00646080"/>
    <w:rsid w:val="006473E2"/>
    <w:rsid w:val="0065005E"/>
    <w:rsid w:val="006504E1"/>
    <w:rsid w:val="0065080C"/>
    <w:rsid w:val="00650D76"/>
    <w:rsid w:val="00651741"/>
    <w:rsid w:val="006547C0"/>
    <w:rsid w:val="006567B0"/>
    <w:rsid w:val="00656809"/>
    <w:rsid w:val="00656E54"/>
    <w:rsid w:val="00657156"/>
    <w:rsid w:val="00657527"/>
    <w:rsid w:val="00657CF4"/>
    <w:rsid w:val="00657F79"/>
    <w:rsid w:val="006630C4"/>
    <w:rsid w:val="00663286"/>
    <w:rsid w:val="00663849"/>
    <w:rsid w:val="00663DB0"/>
    <w:rsid w:val="00664B14"/>
    <w:rsid w:val="00665219"/>
    <w:rsid w:val="00665311"/>
    <w:rsid w:val="00665849"/>
    <w:rsid w:val="00665DF1"/>
    <w:rsid w:val="006663ED"/>
    <w:rsid w:val="00667839"/>
    <w:rsid w:val="006679D3"/>
    <w:rsid w:val="00671C62"/>
    <w:rsid w:val="006758A1"/>
    <w:rsid w:val="00675D1D"/>
    <w:rsid w:val="00675E44"/>
    <w:rsid w:val="0067677C"/>
    <w:rsid w:val="00676AA9"/>
    <w:rsid w:val="006810BA"/>
    <w:rsid w:val="006811CC"/>
    <w:rsid w:val="00682561"/>
    <w:rsid w:val="00682A2D"/>
    <w:rsid w:val="0068350F"/>
    <w:rsid w:val="00684794"/>
    <w:rsid w:val="006850FA"/>
    <w:rsid w:val="0068601C"/>
    <w:rsid w:val="00686B01"/>
    <w:rsid w:val="00690B0A"/>
    <w:rsid w:val="00690F2B"/>
    <w:rsid w:val="00691BE8"/>
    <w:rsid w:val="006923BD"/>
    <w:rsid w:val="00692AA3"/>
    <w:rsid w:val="00692D41"/>
    <w:rsid w:val="00692F37"/>
    <w:rsid w:val="00694652"/>
    <w:rsid w:val="006958BB"/>
    <w:rsid w:val="00697762"/>
    <w:rsid w:val="00697B48"/>
    <w:rsid w:val="006A0AEA"/>
    <w:rsid w:val="006A121A"/>
    <w:rsid w:val="006A1B1E"/>
    <w:rsid w:val="006A1D8F"/>
    <w:rsid w:val="006A1DF1"/>
    <w:rsid w:val="006A2219"/>
    <w:rsid w:val="006A4B25"/>
    <w:rsid w:val="006A5441"/>
    <w:rsid w:val="006A66DF"/>
    <w:rsid w:val="006A6B8D"/>
    <w:rsid w:val="006A6D22"/>
    <w:rsid w:val="006A705F"/>
    <w:rsid w:val="006A78A3"/>
    <w:rsid w:val="006A797A"/>
    <w:rsid w:val="006A79A0"/>
    <w:rsid w:val="006B0705"/>
    <w:rsid w:val="006B07A7"/>
    <w:rsid w:val="006B08C4"/>
    <w:rsid w:val="006B0A4F"/>
    <w:rsid w:val="006B2328"/>
    <w:rsid w:val="006B313C"/>
    <w:rsid w:val="006B38C3"/>
    <w:rsid w:val="006B47EC"/>
    <w:rsid w:val="006B4AB6"/>
    <w:rsid w:val="006B4AC9"/>
    <w:rsid w:val="006B4DA4"/>
    <w:rsid w:val="006B50D0"/>
    <w:rsid w:val="006B73B4"/>
    <w:rsid w:val="006B74C9"/>
    <w:rsid w:val="006C0668"/>
    <w:rsid w:val="006C0704"/>
    <w:rsid w:val="006C0EFB"/>
    <w:rsid w:val="006C14AB"/>
    <w:rsid w:val="006C1E36"/>
    <w:rsid w:val="006C3D36"/>
    <w:rsid w:val="006C466C"/>
    <w:rsid w:val="006C65D7"/>
    <w:rsid w:val="006C6C46"/>
    <w:rsid w:val="006C7B9C"/>
    <w:rsid w:val="006D0DB2"/>
    <w:rsid w:val="006D15E9"/>
    <w:rsid w:val="006D25EC"/>
    <w:rsid w:val="006D3D82"/>
    <w:rsid w:val="006D521B"/>
    <w:rsid w:val="006D564E"/>
    <w:rsid w:val="006D6019"/>
    <w:rsid w:val="006D7831"/>
    <w:rsid w:val="006E0028"/>
    <w:rsid w:val="006E03C5"/>
    <w:rsid w:val="006E0C04"/>
    <w:rsid w:val="006E0D90"/>
    <w:rsid w:val="006E0FCB"/>
    <w:rsid w:val="006E1B6A"/>
    <w:rsid w:val="006E26A7"/>
    <w:rsid w:val="006E2FEB"/>
    <w:rsid w:val="006E333A"/>
    <w:rsid w:val="006E3942"/>
    <w:rsid w:val="006E4215"/>
    <w:rsid w:val="006E4EB2"/>
    <w:rsid w:val="006E4FE7"/>
    <w:rsid w:val="006E5DD3"/>
    <w:rsid w:val="006E6BBF"/>
    <w:rsid w:val="006E6F7D"/>
    <w:rsid w:val="006E7E5F"/>
    <w:rsid w:val="006F00A8"/>
    <w:rsid w:val="006F066F"/>
    <w:rsid w:val="006F07EF"/>
    <w:rsid w:val="006F2E37"/>
    <w:rsid w:val="006F36D9"/>
    <w:rsid w:val="006F3813"/>
    <w:rsid w:val="006F3E70"/>
    <w:rsid w:val="006F6465"/>
    <w:rsid w:val="006F6D14"/>
    <w:rsid w:val="006F7064"/>
    <w:rsid w:val="006F750C"/>
    <w:rsid w:val="00702143"/>
    <w:rsid w:val="007022CA"/>
    <w:rsid w:val="007030DF"/>
    <w:rsid w:val="0070436A"/>
    <w:rsid w:val="007050DF"/>
    <w:rsid w:val="0070579A"/>
    <w:rsid w:val="0070614D"/>
    <w:rsid w:val="00706E3D"/>
    <w:rsid w:val="007071D3"/>
    <w:rsid w:val="007076A4"/>
    <w:rsid w:val="007100D3"/>
    <w:rsid w:val="007111D7"/>
    <w:rsid w:val="007126AA"/>
    <w:rsid w:val="00712CEA"/>
    <w:rsid w:val="00714FCF"/>
    <w:rsid w:val="0071510E"/>
    <w:rsid w:val="007157D9"/>
    <w:rsid w:val="007157EC"/>
    <w:rsid w:val="0071582A"/>
    <w:rsid w:val="00716337"/>
    <w:rsid w:val="007163A2"/>
    <w:rsid w:val="00716AB4"/>
    <w:rsid w:val="00716CFD"/>
    <w:rsid w:val="00716E75"/>
    <w:rsid w:val="007179AF"/>
    <w:rsid w:val="0072063E"/>
    <w:rsid w:val="00720931"/>
    <w:rsid w:val="00721680"/>
    <w:rsid w:val="00721806"/>
    <w:rsid w:val="007224EE"/>
    <w:rsid w:val="00723CDD"/>
    <w:rsid w:val="0072400C"/>
    <w:rsid w:val="00724ABB"/>
    <w:rsid w:val="0072694C"/>
    <w:rsid w:val="00727030"/>
    <w:rsid w:val="00727CAB"/>
    <w:rsid w:val="00730ABC"/>
    <w:rsid w:val="007310E3"/>
    <w:rsid w:val="00731945"/>
    <w:rsid w:val="00733467"/>
    <w:rsid w:val="00734633"/>
    <w:rsid w:val="00734770"/>
    <w:rsid w:val="007362E5"/>
    <w:rsid w:val="00736370"/>
    <w:rsid w:val="007364A4"/>
    <w:rsid w:val="00737091"/>
    <w:rsid w:val="0073753D"/>
    <w:rsid w:val="00737DFD"/>
    <w:rsid w:val="0074080C"/>
    <w:rsid w:val="007414F0"/>
    <w:rsid w:val="007423A3"/>
    <w:rsid w:val="007432DC"/>
    <w:rsid w:val="007447D5"/>
    <w:rsid w:val="00744A96"/>
    <w:rsid w:val="00745A73"/>
    <w:rsid w:val="007467F2"/>
    <w:rsid w:val="007469E1"/>
    <w:rsid w:val="00747CFB"/>
    <w:rsid w:val="00750021"/>
    <w:rsid w:val="0075193E"/>
    <w:rsid w:val="007533DA"/>
    <w:rsid w:val="00753D00"/>
    <w:rsid w:val="007554C3"/>
    <w:rsid w:val="0075634E"/>
    <w:rsid w:val="00756480"/>
    <w:rsid w:val="00756821"/>
    <w:rsid w:val="007578DA"/>
    <w:rsid w:val="007604CE"/>
    <w:rsid w:val="0076085C"/>
    <w:rsid w:val="0076179E"/>
    <w:rsid w:val="0076198C"/>
    <w:rsid w:val="00761DE1"/>
    <w:rsid w:val="00761E73"/>
    <w:rsid w:val="00762252"/>
    <w:rsid w:val="0076240A"/>
    <w:rsid w:val="0076459A"/>
    <w:rsid w:val="007648FB"/>
    <w:rsid w:val="0076562D"/>
    <w:rsid w:val="007656C3"/>
    <w:rsid w:val="00766519"/>
    <w:rsid w:val="007665FD"/>
    <w:rsid w:val="00766908"/>
    <w:rsid w:val="007669F5"/>
    <w:rsid w:val="00766DF9"/>
    <w:rsid w:val="007675EC"/>
    <w:rsid w:val="00767897"/>
    <w:rsid w:val="00767CD6"/>
    <w:rsid w:val="00767D1E"/>
    <w:rsid w:val="00770091"/>
    <w:rsid w:val="00770A1F"/>
    <w:rsid w:val="00770DF7"/>
    <w:rsid w:val="007711F5"/>
    <w:rsid w:val="007715CF"/>
    <w:rsid w:val="007718D1"/>
    <w:rsid w:val="007722F7"/>
    <w:rsid w:val="007726AE"/>
    <w:rsid w:val="00773874"/>
    <w:rsid w:val="00773D29"/>
    <w:rsid w:val="007744CE"/>
    <w:rsid w:val="0077591A"/>
    <w:rsid w:val="00775AEF"/>
    <w:rsid w:val="00776D7A"/>
    <w:rsid w:val="00776D95"/>
    <w:rsid w:val="00776F70"/>
    <w:rsid w:val="007800BD"/>
    <w:rsid w:val="00780108"/>
    <w:rsid w:val="00781DE4"/>
    <w:rsid w:val="00782FF5"/>
    <w:rsid w:val="00783585"/>
    <w:rsid w:val="00783826"/>
    <w:rsid w:val="007838CB"/>
    <w:rsid w:val="007844AB"/>
    <w:rsid w:val="00784ED4"/>
    <w:rsid w:val="00785DDB"/>
    <w:rsid w:val="00785EA5"/>
    <w:rsid w:val="00786123"/>
    <w:rsid w:val="00787A67"/>
    <w:rsid w:val="00787F7B"/>
    <w:rsid w:val="0079043C"/>
    <w:rsid w:val="00790D2B"/>
    <w:rsid w:val="00791312"/>
    <w:rsid w:val="00792598"/>
    <w:rsid w:val="007927DD"/>
    <w:rsid w:val="00792A7E"/>
    <w:rsid w:val="0079456A"/>
    <w:rsid w:val="00794608"/>
    <w:rsid w:val="007953EA"/>
    <w:rsid w:val="00795637"/>
    <w:rsid w:val="0079570C"/>
    <w:rsid w:val="00796264"/>
    <w:rsid w:val="00796B93"/>
    <w:rsid w:val="00796FB5"/>
    <w:rsid w:val="00797C31"/>
    <w:rsid w:val="00797DF2"/>
    <w:rsid w:val="007A0213"/>
    <w:rsid w:val="007A1872"/>
    <w:rsid w:val="007A2DD2"/>
    <w:rsid w:val="007A40E2"/>
    <w:rsid w:val="007A4B52"/>
    <w:rsid w:val="007A50E3"/>
    <w:rsid w:val="007A5A31"/>
    <w:rsid w:val="007A5EF6"/>
    <w:rsid w:val="007A69B1"/>
    <w:rsid w:val="007A7B42"/>
    <w:rsid w:val="007B0232"/>
    <w:rsid w:val="007B0A0C"/>
    <w:rsid w:val="007B115F"/>
    <w:rsid w:val="007B3114"/>
    <w:rsid w:val="007B33C8"/>
    <w:rsid w:val="007B3B8F"/>
    <w:rsid w:val="007B4F48"/>
    <w:rsid w:val="007B5148"/>
    <w:rsid w:val="007B5616"/>
    <w:rsid w:val="007B576D"/>
    <w:rsid w:val="007B5A56"/>
    <w:rsid w:val="007B603A"/>
    <w:rsid w:val="007B67C1"/>
    <w:rsid w:val="007B7BD7"/>
    <w:rsid w:val="007B7EC1"/>
    <w:rsid w:val="007C0DFC"/>
    <w:rsid w:val="007C1C0F"/>
    <w:rsid w:val="007C1DD5"/>
    <w:rsid w:val="007C2D75"/>
    <w:rsid w:val="007C3C5C"/>
    <w:rsid w:val="007C59AB"/>
    <w:rsid w:val="007C5BEE"/>
    <w:rsid w:val="007C760F"/>
    <w:rsid w:val="007C7AFA"/>
    <w:rsid w:val="007C7D42"/>
    <w:rsid w:val="007C7FEA"/>
    <w:rsid w:val="007D0896"/>
    <w:rsid w:val="007D1662"/>
    <w:rsid w:val="007D1A83"/>
    <w:rsid w:val="007D24FF"/>
    <w:rsid w:val="007D2EB9"/>
    <w:rsid w:val="007D3EC8"/>
    <w:rsid w:val="007D4049"/>
    <w:rsid w:val="007D544C"/>
    <w:rsid w:val="007D5E6A"/>
    <w:rsid w:val="007D696B"/>
    <w:rsid w:val="007D7B9D"/>
    <w:rsid w:val="007E04E1"/>
    <w:rsid w:val="007E1840"/>
    <w:rsid w:val="007E1A9A"/>
    <w:rsid w:val="007E1AF1"/>
    <w:rsid w:val="007E3B70"/>
    <w:rsid w:val="007E3E0A"/>
    <w:rsid w:val="007E3F21"/>
    <w:rsid w:val="007E583D"/>
    <w:rsid w:val="007E6CCD"/>
    <w:rsid w:val="007E6E0F"/>
    <w:rsid w:val="007E7712"/>
    <w:rsid w:val="007E7C9A"/>
    <w:rsid w:val="007E7F0F"/>
    <w:rsid w:val="007F16C5"/>
    <w:rsid w:val="007F16F4"/>
    <w:rsid w:val="007F1826"/>
    <w:rsid w:val="007F1B5A"/>
    <w:rsid w:val="007F2E3D"/>
    <w:rsid w:val="007F7709"/>
    <w:rsid w:val="007F7A70"/>
    <w:rsid w:val="007F7B72"/>
    <w:rsid w:val="007F7D86"/>
    <w:rsid w:val="007F7F35"/>
    <w:rsid w:val="00800E06"/>
    <w:rsid w:val="00800E38"/>
    <w:rsid w:val="0080446E"/>
    <w:rsid w:val="00804ABE"/>
    <w:rsid w:val="00804E08"/>
    <w:rsid w:val="00804E6B"/>
    <w:rsid w:val="00805BCC"/>
    <w:rsid w:val="0080780A"/>
    <w:rsid w:val="008079F7"/>
    <w:rsid w:val="00810D8D"/>
    <w:rsid w:val="00811186"/>
    <w:rsid w:val="00811C66"/>
    <w:rsid w:val="008120A8"/>
    <w:rsid w:val="00812323"/>
    <w:rsid w:val="0081272E"/>
    <w:rsid w:val="008136A9"/>
    <w:rsid w:val="008136F2"/>
    <w:rsid w:val="00813BFF"/>
    <w:rsid w:val="00814139"/>
    <w:rsid w:val="00814C8D"/>
    <w:rsid w:val="00815FDC"/>
    <w:rsid w:val="00816254"/>
    <w:rsid w:val="008173CB"/>
    <w:rsid w:val="0081768A"/>
    <w:rsid w:val="00817FD1"/>
    <w:rsid w:val="008203BE"/>
    <w:rsid w:val="00820960"/>
    <w:rsid w:val="00820A9F"/>
    <w:rsid w:val="00821C2D"/>
    <w:rsid w:val="00821D80"/>
    <w:rsid w:val="00822077"/>
    <w:rsid w:val="00822501"/>
    <w:rsid w:val="00822A84"/>
    <w:rsid w:val="00822DB2"/>
    <w:rsid w:val="008232D3"/>
    <w:rsid w:val="008237E8"/>
    <w:rsid w:val="00824BF5"/>
    <w:rsid w:val="0082540E"/>
    <w:rsid w:val="00825A27"/>
    <w:rsid w:val="00826466"/>
    <w:rsid w:val="00826D48"/>
    <w:rsid w:val="0082751A"/>
    <w:rsid w:val="0083138C"/>
    <w:rsid w:val="00831920"/>
    <w:rsid w:val="008327B7"/>
    <w:rsid w:val="0083299C"/>
    <w:rsid w:val="008343C5"/>
    <w:rsid w:val="00835170"/>
    <w:rsid w:val="00835773"/>
    <w:rsid w:val="00836930"/>
    <w:rsid w:val="0084137C"/>
    <w:rsid w:val="00842B53"/>
    <w:rsid w:val="00843208"/>
    <w:rsid w:val="008433BE"/>
    <w:rsid w:val="008434EC"/>
    <w:rsid w:val="008444BB"/>
    <w:rsid w:val="00844815"/>
    <w:rsid w:val="00844921"/>
    <w:rsid w:val="00844ADD"/>
    <w:rsid w:val="008459B7"/>
    <w:rsid w:val="0084624B"/>
    <w:rsid w:val="0084638C"/>
    <w:rsid w:val="008464E1"/>
    <w:rsid w:val="008468B0"/>
    <w:rsid w:val="00846ABD"/>
    <w:rsid w:val="00846D1A"/>
    <w:rsid w:val="00847383"/>
    <w:rsid w:val="008479B7"/>
    <w:rsid w:val="008479D4"/>
    <w:rsid w:val="00847A36"/>
    <w:rsid w:val="00847FF1"/>
    <w:rsid w:val="00850276"/>
    <w:rsid w:val="00851030"/>
    <w:rsid w:val="008511FD"/>
    <w:rsid w:val="0085196E"/>
    <w:rsid w:val="008522CC"/>
    <w:rsid w:val="00853011"/>
    <w:rsid w:val="00853704"/>
    <w:rsid w:val="00855935"/>
    <w:rsid w:val="00855F90"/>
    <w:rsid w:val="0085716E"/>
    <w:rsid w:val="00862C11"/>
    <w:rsid w:val="00862C1D"/>
    <w:rsid w:val="00863576"/>
    <w:rsid w:val="00863818"/>
    <w:rsid w:val="00864356"/>
    <w:rsid w:val="008656AF"/>
    <w:rsid w:val="00866366"/>
    <w:rsid w:val="00866614"/>
    <w:rsid w:val="00866A80"/>
    <w:rsid w:val="00870CEF"/>
    <w:rsid w:val="00871240"/>
    <w:rsid w:val="00871313"/>
    <w:rsid w:val="00871C3D"/>
    <w:rsid w:val="00871D52"/>
    <w:rsid w:val="00872FD8"/>
    <w:rsid w:val="00873575"/>
    <w:rsid w:val="008746D8"/>
    <w:rsid w:val="008748EE"/>
    <w:rsid w:val="00874A13"/>
    <w:rsid w:val="00876B99"/>
    <w:rsid w:val="0087752D"/>
    <w:rsid w:val="00880347"/>
    <w:rsid w:val="00880361"/>
    <w:rsid w:val="00880C69"/>
    <w:rsid w:val="00881008"/>
    <w:rsid w:val="008818DD"/>
    <w:rsid w:val="00881C7D"/>
    <w:rsid w:val="00882800"/>
    <w:rsid w:val="00883ACD"/>
    <w:rsid w:val="00883F42"/>
    <w:rsid w:val="00884195"/>
    <w:rsid w:val="00884E10"/>
    <w:rsid w:val="00885169"/>
    <w:rsid w:val="00885D1D"/>
    <w:rsid w:val="00886D8B"/>
    <w:rsid w:val="00887AEA"/>
    <w:rsid w:val="008902C3"/>
    <w:rsid w:val="008903FD"/>
    <w:rsid w:val="00890F7D"/>
    <w:rsid w:val="00891FC0"/>
    <w:rsid w:val="0089260D"/>
    <w:rsid w:val="008931B7"/>
    <w:rsid w:val="00893F47"/>
    <w:rsid w:val="008946AC"/>
    <w:rsid w:val="00894B67"/>
    <w:rsid w:val="00896EFE"/>
    <w:rsid w:val="00897044"/>
    <w:rsid w:val="00897B3E"/>
    <w:rsid w:val="008A021A"/>
    <w:rsid w:val="008A04FF"/>
    <w:rsid w:val="008A1CF7"/>
    <w:rsid w:val="008A27F1"/>
    <w:rsid w:val="008A320E"/>
    <w:rsid w:val="008A3429"/>
    <w:rsid w:val="008A37E2"/>
    <w:rsid w:val="008A46D7"/>
    <w:rsid w:val="008A5896"/>
    <w:rsid w:val="008A685A"/>
    <w:rsid w:val="008B00B1"/>
    <w:rsid w:val="008B129F"/>
    <w:rsid w:val="008B1341"/>
    <w:rsid w:val="008B1547"/>
    <w:rsid w:val="008B18F8"/>
    <w:rsid w:val="008B1EFD"/>
    <w:rsid w:val="008B2090"/>
    <w:rsid w:val="008B3327"/>
    <w:rsid w:val="008B49DA"/>
    <w:rsid w:val="008B6318"/>
    <w:rsid w:val="008B7FC1"/>
    <w:rsid w:val="008C08F1"/>
    <w:rsid w:val="008C1FF4"/>
    <w:rsid w:val="008C31C4"/>
    <w:rsid w:val="008C38C8"/>
    <w:rsid w:val="008C39E0"/>
    <w:rsid w:val="008C4E44"/>
    <w:rsid w:val="008C597F"/>
    <w:rsid w:val="008C5EDE"/>
    <w:rsid w:val="008C7009"/>
    <w:rsid w:val="008C735C"/>
    <w:rsid w:val="008D030F"/>
    <w:rsid w:val="008D2033"/>
    <w:rsid w:val="008D23FB"/>
    <w:rsid w:val="008D27D4"/>
    <w:rsid w:val="008D3617"/>
    <w:rsid w:val="008D49B7"/>
    <w:rsid w:val="008D5A5A"/>
    <w:rsid w:val="008D603C"/>
    <w:rsid w:val="008D6BDA"/>
    <w:rsid w:val="008D6E23"/>
    <w:rsid w:val="008E03FF"/>
    <w:rsid w:val="008E0565"/>
    <w:rsid w:val="008E1154"/>
    <w:rsid w:val="008E327E"/>
    <w:rsid w:val="008E3578"/>
    <w:rsid w:val="008E44C6"/>
    <w:rsid w:val="008E5537"/>
    <w:rsid w:val="008E55C2"/>
    <w:rsid w:val="008E7920"/>
    <w:rsid w:val="008F0776"/>
    <w:rsid w:val="008F1116"/>
    <w:rsid w:val="008F14E1"/>
    <w:rsid w:val="008F1A59"/>
    <w:rsid w:val="008F212E"/>
    <w:rsid w:val="008F2752"/>
    <w:rsid w:val="008F27BF"/>
    <w:rsid w:val="008F2A5E"/>
    <w:rsid w:val="008F2AA5"/>
    <w:rsid w:val="008F2BAD"/>
    <w:rsid w:val="008F3A57"/>
    <w:rsid w:val="008F3D89"/>
    <w:rsid w:val="008F3E33"/>
    <w:rsid w:val="008F4029"/>
    <w:rsid w:val="008F4DCB"/>
    <w:rsid w:val="008F54A6"/>
    <w:rsid w:val="008F5D72"/>
    <w:rsid w:val="008F6AC2"/>
    <w:rsid w:val="008F7444"/>
    <w:rsid w:val="008F7868"/>
    <w:rsid w:val="00900A12"/>
    <w:rsid w:val="00900C70"/>
    <w:rsid w:val="0090189D"/>
    <w:rsid w:val="00901FC9"/>
    <w:rsid w:val="00902C9D"/>
    <w:rsid w:val="00903D0E"/>
    <w:rsid w:val="0090438F"/>
    <w:rsid w:val="009047F0"/>
    <w:rsid w:val="00904C26"/>
    <w:rsid w:val="00905D03"/>
    <w:rsid w:val="0090631B"/>
    <w:rsid w:val="0090659A"/>
    <w:rsid w:val="00906C8A"/>
    <w:rsid w:val="00906FBE"/>
    <w:rsid w:val="00907AC4"/>
    <w:rsid w:val="009104FE"/>
    <w:rsid w:val="00910D02"/>
    <w:rsid w:val="00910F7A"/>
    <w:rsid w:val="009113B1"/>
    <w:rsid w:val="00912030"/>
    <w:rsid w:val="00912180"/>
    <w:rsid w:val="00912432"/>
    <w:rsid w:val="00912A6A"/>
    <w:rsid w:val="009133DC"/>
    <w:rsid w:val="009133DF"/>
    <w:rsid w:val="00913D28"/>
    <w:rsid w:val="00914DFD"/>
    <w:rsid w:val="00914E43"/>
    <w:rsid w:val="00915577"/>
    <w:rsid w:val="009155D7"/>
    <w:rsid w:val="009167C5"/>
    <w:rsid w:val="00921193"/>
    <w:rsid w:val="00921DB7"/>
    <w:rsid w:val="009220B1"/>
    <w:rsid w:val="00922B25"/>
    <w:rsid w:val="00922F6D"/>
    <w:rsid w:val="00924806"/>
    <w:rsid w:val="009248AF"/>
    <w:rsid w:val="009255FA"/>
    <w:rsid w:val="00926903"/>
    <w:rsid w:val="00927570"/>
    <w:rsid w:val="00927F7C"/>
    <w:rsid w:val="00930015"/>
    <w:rsid w:val="0093100B"/>
    <w:rsid w:val="00932E63"/>
    <w:rsid w:val="009331CC"/>
    <w:rsid w:val="009363AC"/>
    <w:rsid w:val="0093750C"/>
    <w:rsid w:val="00940097"/>
    <w:rsid w:val="00940595"/>
    <w:rsid w:val="00940A28"/>
    <w:rsid w:val="009410B6"/>
    <w:rsid w:val="0094134C"/>
    <w:rsid w:val="00941497"/>
    <w:rsid w:val="00942A27"/>
    <w:rsid w:val="0094302A"/>
    <w:rsid w:val="0094375F"/>
    <w:rsid w:val="00943B21"/>
    <w:rsid w:val="009450C6"/>
    <w:rsid w:val="00946CBC"/>
    <w:rsid w:val="00946F29"/>
    <w:rsid w:val="00947A30"/>
    <w:rsid w:val="0095195D"/>
    <w:rsid w:val="00954034"/>
    <w:rsid w:val="009545D0"/>
    <w:rsid w:val="00954AAA"/>
    <w:rsid w:val="0095565C"/>
    <w:rsid w:val="009560EF"/>
    <w:rsid w:val="00956A3B"/>
    <w:rsid w:val="00956E0B"/>
    <w:rsid w:val="00957CED"/>
    <w:rsid w:val="00961488"/>
    <w:rsid w:val="00962D07"/>
    <w:rsid w:val="009646E7"/>
    <w:rsid w:val="00964E4F"/>
    <w:rsid w:val="00965211"/>
    <w:rsid w:val="0096549C"/>
    <w:rsid w:val="00965F26"/>
    <w:rsid w:val="00967F27"/>
    <w:rsid w:val="00971A59"/>
    <w:rsid w:val="0097202B"/>
    <w:rsid w:val="00972607"/>
    <w:rsid w:val="009729E0"/>
    <w:rsid w:val="00972F74"/>
    <w:rsid w:val="0097303A"/>
    <w:rsid w:val="009735E3"/>
    <w:rsid w:val="0097381F"/>
    <w:rsid w:val="00974081"/>
    <w:rsid w:val="00976048"/>
    <w:rsid w:val="00976EC0"/>
    <w:rsid w:val="009771E7"/>
    <w:rsid w:val="00980F77"/>
    <w:rsid w:val="00982D86"/>
    <w:rsid w:val="00983282"/>
    <w:rsid w:val="009833B6"/>
    <w:rsid w:val="0098474B"/>
    <w:rsid w:val="00984E9D"/>
    <w:rsid w:val="00986DF4"/>
    <w:rsid w:val="0099193F"/>
    <w:rsid w:val="00991B66"/>
    <w:rsid w:val="009926FB"/>
    <w:rsid w:val="00992775"/>
    <w:rsid w:val="00992C8A"/>
    <w:rsid w:val="0099302D"/>
    <w:rsid w:val="00995A95"/>
    <w:rsid w:val="009962E6"/>
    <w:rsid w:val="00997417"/>
    <w:rsid w:val="009A0230"/>
    <w:rsid w:val="009A2B7D"/>
    <w:rsid w:val="009A4398"/>
    <w:rsid w:val="009B0995"/>
    <w:rsid w:val="009B4930"/>
    <w:rsid w:val="009B4A06"/>
    <w:rsid w:val="009B4C76"/>
    <w:rsid w:val="009B5069"/>
    <w:rsid w:val="009B5F95"/>
    <w:rsid w:val="009B6736"/>
    <w:rsid w:val="009B6AD1"/>
    <w:rsid w:val="009C110D"/>
    <w:rsid w:val="009C11A6"/>
    <w:rsid w:val="009C1D09"/>
    <w:rsid w:val="009C1FC9"/>
    <w:rsid w:val="009C308C"/>
    <w:rsid w:val="009C33AC"/>
    <w:rsid w:val="009C3CAE"/>
    <w:rsid w:val="009C41E8"/>
    <w:rsid w:val="009C4FE1"/>
    <w:rsid w:val="009C577A"/>
    <w:rsid w:val="009C67E5"/>
    <w:rsid w:val="009C7762"/>
    <w:rsid w:val="009C7CF5"/>
    <w:rsid w:val="009D1F20"/>
    <w:rsid w:val="009D301D"/>
    <w:rsid w:val="009D3C3C"/>
    <w:rsid w:val="009D3E1C"/>
    <w:rsid w:val="009D4506"/>
    <w:rsid w:val="009D52B3"/>
    <w:rsid w:val="009D64C8"/>
    <w:rsid w:val="009D733D"/>
    <w:rsid w:val="009E03DA"/>
    <w:rsid w:val="009E08FD"/>
    <w:rsid w:val="009E0A81"/>
    <w:rsid w:val="009E181E"/>
    <w:rsid w:val="009E2B31"/>
    <w:rsid w:val="009E352D"/>
    <w:rsid w:val="009E4B27"/>
    <w:rsid w:val="009E570D"/>
    <w:rsid w:val="009E59B5"/>
    <w:rsid w:val="009E6F1D"/>
    <w:rsid w:val="009E72D3"/>
    <w:rsid w:val="009F09BE"/>
    <w:rsid w:val="009F0BF4"/>
    <w:rsid w:val="009F1A88"/>
    <w:rsid w:val="009F1F5C"/>
    <w:rsid w:val="009F24BF"/>
    <w:rsid w:val="009F4059"/>
    <w:rsid w:val="009F4E7E"/>
    <w:rsid w:val="009F5CD4"/>
    <w:rsid w:val="009F5F77"/>
    <w:rsid w:val="009F644C"/>
    <w:rsid w:val="009F73A2"/>
    <w:rsid w:val="009F7675"/>
    <w:rsid w:val="009F76F3"/>
    <w:rsid w:val="00A00B62"/>
    <w:rsid w:val="00A01402"/>
    <w:rsid w:val="00A0146C"/>
    <w:rsid w:val="00A01976"/>
    <w:rsid w:val="00A022FA"/>
    <w:rsid w:val="00A028DE"/>
    <w:rsid w:val="00A02DBD"/>
    <w:rsid w:val="00A034F7"/>
    <w:rsid w:val="00A043EA"/>
    <w:rsid w:val="00A045BC"/>
    <w:rsid w:val="00A0509A"/>
    <w:rsid w:val="00A0514A"/>
    <w:rsid w:val="00A05D69"/>
    <w:rsid w:val="00A060A2"/>
    <w:rsid w:val="00A061EC"/>
    <w:rsid w:val="00A06823"/>
    <w:rsid w:val="00A068E7"/>
    <w:rsid w:val="00A06BE8"/>
    <w:rsid w:val="00A07D0F"/>
    <w:rsid w:val="00A1038C"/>
    <w:rsid w:val="00A11190"/>
    <w:rsid w:val="00A1225C"/>
    <w:rsid w:val="00A1237D"/>
    <w:rsid w:val="00A12747"/>
    <w:rsid w:val="00A129A7"/>
    <w:rsid w:val="00A13036"/>
    <w:rsid w:val="00A1371B"/>
    <w:rsid w:val="00A146E3"/>
    <w:rsid w:val="00A15235"/>
    <w:rsid w:val="00A15966"/>
    <w:rsid w:val="00A15A88"/>
    <w:rsid w:val="00A162FD"/>
    <w:rsid w:val="00A16EE9"/>
    <w:rsid w:val="00A16FD7"/>
    <w:rsid w:val="00A171F5"/>
    <w:rsid w:val="00A17D8E"/>
    <w:rsid w:val="00A2065A"/>
    <w:rsid w:val="00A20888"/>
    <w:rsid w:val="00A210CC"/>
    <w:rsid w:val="00A21572"/>
    <w:rsid w:val="00A21C73"/>
    <w:rsid w:val="00A220D6"/>
    <w:rsid w:val="00A22F60"/>
    <w:rsid w:val="00A23359"/>
    <w:rsid w:val="00A23F0F"/>
    <w:rsid w:val="00A2477D"/>
    <w:rsid w:val="00A25574"/>
    <w:rsid w:val="00A25E71"/>
    <w:rsid w:val="00A265A7"/>
    <w:rsid w:val="00A27A1F"/>
    <w:rsid w:val="00A27A2E"/>
    <w:rsid w:val="00A27D27"/>
    <w:rsid w:val="00A30B15"/>
    <w:rsid w:val="00A31011"/>
    <w:rsid w:val="00A319D3"/>
    <w:rsid w:val="00A31DBC"/>
    <w:rsid w:val="00A3262F"/>
    <w:rsid w:val="00A32B04"/>
    <w:rsid w:val="00A32EB5"/>
    <w:rsid w:val="00A33CD6"/>
    <w:rsid w:val="00A33D9E"/>
    <w:rsid w:val="00A33E6E"/>
    <w:rsid w:val="00A35B6A"/>
    <w:rsid w:val="00A35D62"/>
    <w:rsid w:val="00A36277"/>
    <w:rsid w:val="00A3695D"/>
    <w:rsid w:val="00A370C8"/>
    <w:rsid w:val="00A37977"/>
    <w:rsid w:val="00A41EE9"/>
    <w:rsid w:val="00A4248E"/>
    <w:rsid w:val="00A427D3"/>
    <w:rsid w:val="00A440B3"/>
    <w:rsid w:val="00A452C4"/>
    <w:rsid w:val="00A45393"/>
    <w:rsid w:val="00A4578D"/>
    <w:rsid w:val="00A46A9F"/>
    <w:rsid w:val="00A47221"/>
    <w:rsid w:val="00A476B7"/>
    <w:rsid w:val="00A50525"/>
    <w:rsid w:val="00A50625"/>
    <w:rsid w:val="00A50C92"/>
    <w:rsid w:val="00A51579"/>
    <w:rsid w:val="00A54C12"/>
    <w:rsid w:val="00A550FF"/>
    <w:rsid w:val="00A55335"/>
    <w:rsid w:val="00A55544"/>
    <w:rsid w:val="00A55579"/>
    <w:rsid w:val="00A557CD"/>
    <w:rsid w:val="00A55C3B"/>
    <w:rsid w:val="00A56608"/>
    <w:rsid w:val="00A56D5E"/>
    <w:rsid w:val="00A574B8"/>
    <w:rsid w:val="00A57DD9"/>
    <w:rsid w:val="00A601CA"/>
    <w:rsid w:val="00A60765"/>
    <w:rsid w:val="00A6083B"/>
    <w:rsid w:val="00A61A47"/>
    <w:rsid w:val="00A61C1A"/>
    <w:rsid w:val="00A625A7"/>
    <w:rsid w:val="00A629CE"/>
    <w:rsid w:val="00A62D23"/>
    <w:rsid w:val="00A6486A"/>
    <w:rsid w:val="00A64F7D"/>
    <w:rsid w:val="00A65A27"/>
    <w:rsid w:val="00A666D1"/>
    <w:rsid w:val="00A67B0D"/>
    <w:rsid w:val="00A67E02"/>
    <w:rsid w:val="00A71020"/>
    <w:rsid w:val="00A711AB"/>
    <w:rsid w:val="00A7209E"/>
    <w:rsid w:val="00A729E9"/>
    <w:rsid w:val="00A72C59"/>
    <w:rsid w:val="00A744BF"/>
    <w:rsid w:val="00A74D57"/>
    <w:rsid w:val="00A75093"/>
    <w:rsid w:val="00A752D1"/>
    <w:rsid w:val="00A75831"/>
    <w:rsid w:val="00A759D9"/>
    <w:rsid w:val="00A761AC"/>
    <w:rsid w:val="00A76679"/>
    <w:rsid w:val="00A76C36"/>
    <w:rsid w:val="00A77EAF"/>
    <w:rsid w:val="00A800AD"/>
    <w:rsid w:val="00A803CA"/>
    <w:rsid w:val="00A80B95"/>
    <w:rsid w:val="00A81CDA"/>
    <w:rsid w:val="00A836AC"/>
    <w:rsid w:val="00A8512F"/>
    <w:rsid w:val="00A8592C"/>
    <w:rsid w:val="00A86F29"/>
    <w:rsid w:val="00A87503"/>
    <w:rsid w:val="00A87762"/>
    <w:rsid w:val="00A90046"/>
    <w:rsid w:val="00A90900"/>
    <w:rsid w:val="00A90913"/>
    <w:rsid w:val="00A90AA1"/>
    <w:rsid w:val="00A9100C"/>
    <w:rsid w:val="00A92604"/>
    <w:rsid w:val="00A9315A"/>
    <w:rsid w:val="00A934DF"/>
    <w:rsid w:val="00A93BA1"/>
    <w:rsid w:val="00A94021"/>
    <w:rsid w:val="00A94551"/>
    <w:rsid w:val="00A96AEE"/>
    <w:rsid w:val="00A97045"/>
    <w:rsid w:val="00A975D7"/>
    <w:rsid w:val="00AA0AA3"/>
    <w:rsid w:val="00AA21BA"/>
    <w:rsid w:val="00AA4E09"/>
    <w:rsid w:val="00AA58F9"/>
    <w:rsid w:val="00AA6412"/>
    <w:rsid w:val="00AA6CEE"/>
    <w:rsid w:val="00AA6E37"/>
    <w:rsid w:val="00AA7D31"/>
    <w:rsid w:val="00AB0CD3"/>
    <w:rsid w:val="00AB0DF8"/>
    <w:rsid w:val="00AB1211"/>
    <w:rsid w:val="00AB463C"/>
    <w:rsid w:val="00AB4A8A"/>
    <w:rsid w:val="00AB51B3"/>
    <w:rsid w:val="00AB5934"/>
    <w:rsid w:val="00AB5F46"/>
    <w:rsid w:val="00AC0FC1"/>
    <w:rsid w:val="00AC0FC8"/>
    <w:rsid w:val="00AC14E3"/>
    <w:rsid w:val="00AC1F3B"/>
    <w:rsid w:val="00AC2302"/>
    <w:rsid w:val="00AC241A"/>
    <w:rsid w:val="00AC2AD2"/>
    <w:rsid w:val="00AC38CA"/>
    <w:rsid w:val="00AC3A34"/>
    <w:rsid w:val="00AC476D"/>
    <w:rsid w:val="00AC515F"/>
    <w:rsid w:val="00AC53D2"/>
    <w:rsid w:val="00AC58ED"/>
    <w:rsid w:val="00AC5A08"/>
    <w:rsid w:val="00AC6C21"/>
    <w:rsid w:val="00AC71DC"/>
    <w:rsid w:val="00AD0019"/>
    <w:rsid w:val="00AD0088"/>
    <w:rsid w:val="00AD435B"/>
    <w:rsid w:val="00AD4D90"/>
    <w:rsid w:val="00AD4F9D"/>
    <w:rsid w:val="00AD60F9"/>
    <w:rsid w:val="00AD6273"/>
    <w:rsid w:val="00AD64E9"/>
    <w:rsid w:val="00AE045E"/>
    <w:rsid w:val="00AE04FE"/>
    <w:rsid w:val="00AE1488"/>
    <w:rsid w:val="00AE2F35"/>
    <w:rsid w:val="00AE3DFF"/>
    <w:rsid w:val="00AE4054"/>
    <w:rsid w:val="00AE51DA"/>
    <w:rsid w:val="00AE5F3B"/>
    <w:rsid w:val="00AE61A1"/>
    <w:rsid w:val="00AE62D9"/>
    <w:rsid w:val="00AE6AB2"/>
    <w:rsid w:val="00AE6F70"/>
    <w:rsid w:val="00AF2590"/>
    <w:rsid w:val="00AF2DA6"/>
    <w:rsid w:val="00AF3931"/>
    <w:rsid w:val="00AF49EA"/>
    <w:rsid w:val="00AF7097"/>
    <w:rsid w:val="00AF738D"/>
    <w:rsid w:val="00B008FB"/>
    <w:rsid w:val="00B035E6"/>
    <w:rsid w:val="00B03733"/>
    <w:rsid w:val="00B03EAE"/>
    <w:rsid w:val="00B05AAB"/>
    <w:rsid w:val="00B06706"/>
    <w:rsid w:val="00B071F2"/>
    <w:rsid w:val="00B10D1A"/>
    <w:rsid w:val="00B11135"/>
    <w:rsid w:val="00B11414"/>
    <w:rsid w:val="00B12307"/>
    <w:rsid w:val="00B145A2"/>
    <w:rsid w:val="00B1480A"/>
    <w:rsid w:val="00B14D9A"/>
    <w:rsid w:val="00B151D2"/>
    <w:rsid w:val="00B15CF8"/>
    <w:rsid w:val="00B15E5B"/>
    <w:rsid w:val="00B17519"/>
    <w:rsid w:val="00B20216"/>
    <w:rsid w:val="00B20410"/>
    <w:rsid w:val="00B20704"/>
    <w:rsid w:val="00B20E2E"/>
    <w:rsid w:val="00B21107"/>
    <w:rsid w:val="00B21208"/>
    <w:rsid w:val="00B212C6"/>
    <w:rsid w:val="00B224EF"/>
    <w:rsid w:val="00B239E5"/>
    <w:rsid w:val="00B239FC"/>
    <w:rsid w:val="00B24D2A"/>
    <w:rsid w:val="00B25207"/>
    <w:rsid w:val="00B25F0D"/>
    <w:rsid w:val="00B26DEF"/>
    <w:rsid w:val="00B272C4"/>
    <w:rsid w:val="00B278FC"/>
    <w:rsid w:val="00B27A2C"/>
    <w:rsid w:val="00B3051F"/>
    <w:rsid w:val="00B30C61"/>
    <w:rsid w:val="00B31056"/>
    <w:rsid w:val="00B3119D"/>
    <w:rsid w:val="00B3122C"/>
    <w:rsid w:val="00B312C0"/>
    <w:rsid w:val="00B32E19"/>
    <w:rsid w:val="00B33239"/>
    <w:rsid w:val="00B33B21"/>
    <w:rsid w:val="00B34B3E"/>
    <w:rsid w:val="00B34E6A"/>
    <w:rsid w:val="00B34FE7"/>
    <w:rsid w:val="00B350E0"/>
    <w:rsid w:val="00B35461"/>
    <w:rsid w:val="00B356A1"/>
    <w:rsid w:val="00B36509"/>
    <w:rsid w:val="00B370F4"/>
    <w:rsid w:val="00B37EF0"/>
    <w:rsid w:val="00B40C74"/>
    <w:rsid w:val="00B41621"/>
    <w:rsid w:val="00B41758"/>
    <w:rsid w:val="00B421E2"/>
    <w:rsid w:val="00B422CB"/>
    <w:rsid w:val="00B4482C"/>
    <w:rsid w:val="00B454C0"/>
    <w:rsid w:val="00B46115"/>
    <w:rsid w:val="00B4617E"/>
    <w:rsid w:val="00B4622C"/>
    <w:rsid w:val="00B4760E"/>
    <w:rsid w:val="00B5120D"/>
    <w:rsid w:val="00B512F4"/>
    <w:rsid w:val="00B514C8"/>
    <w:rsid w:val="00B51512"/>
    <w:rsid w:val="00B5242B"/>
    <w:rsid w:val="00B53730"/>
    <w:rsid w:val="00B53870"/>
    <w:rsid w:val="00B540A7"/>
    <w:rsid w:val="00B552A3"/>
    <w:rsid w:val="00B553A2"/>
    <w:rsid w:val="00B560F0"/>
    <w:rsid w:val="00B573D0"/>
    <w:rsid w:val="00B57687"/>
    <w:rsid w:val="00B5796E"/>
    <w:rsid w:val="00B60082"/>
    <w:rsid w:val="00B600F5"/>
    <w:rsid w:val="00B60BD8"/>
    <w:rsid w:val="00B6190C"/>
    <w:rsid w:val="00B61D18"/>
    <w:rsid w:val="00B620C0"/>
    <w:rsid w:val="00B621BF"/>
    <w:rsid w:val="00B6360E"/>
    <w:rsid w:val="00B636EC"/>
    <w:rsid w:val="00B644D4"/>
    <w:rsid w:val="00B64531"/>
    <w:rsid w:val="00B64E19"/>
    <w:rsid w:val="00B6751D"/>
    <w:rsid w:val="00B67A97"/>
    <w:rsid w:val="00B67FAA"/>
    <w:rsid w:val="00B7030B"/>
    <w:rsid w:val="00B70A18"/>
    <w:rsid w:val="00B71B5B"/>
    <w:rsid w:val="00B72BCD"/>
    <w:rsid w:val="00B7366D"/>
    <w:rsid w:val="00B73C69"/>
    <w:rsid w:val="00B74A3B"/>
    <w:rsid w:val="00B753F1"/>
    <w:rsid w:val="00B75729"/>
    <w:rsid w:val="00B75FBF"/>
    <w:rsid w:val="00B76AA7"/>
    <w:rsid w:val="00B7717C"/>
    <w:rsid w:val="00B77198"/>
    <w:rsid w:val="00B813D0"/>
    <w:rsid w:val="00B81832"/>
    <w:rsid w:val="00B8190F"/>
    <w:rsid w:val="00B81CDC"/>
    <w:rsid w:val="00B82101"/>
    <w:rsid w:val="00B826D9"/>
    <w:rsid w:val="00B82D20"/>
    <w:rsid w:val="00B831EC"/>
    <w:rsid w:val="00B8520B"/>
    <w:rsid w:val="00B85557"/>
    <w:rsid w:val="00B85B43"/>
    <w:rsid w:val="00B85EE6"/>
    <w:rsid w:val="00B87CC2"/>
    <w:rsid w:val="00B90051"/>
    <w:rsid w:val="00B90321"/>
    <w:rsid w:val="00B906EC"/>
    <w:rsid w:val="00B90A93"/>
    <w:rsid w:val="00B91A57"/>
    <w:rsid w:val="00B92564"/>
    <w:rsid w:val="00B92983"/>
    <w:rsid w:val="00B94F61"/>
    <w:rsid w:val="00B95F61"/>
    <w:rsid w:val="00B96078"/>
    <w:rsid w:val="00BA03CE"/>
    <w:rsid w:val="00BA085A"/>
    <w:rsid w:val="00BA0F87"/>
    <w:rsid w:val="00BA1E76"/>
    <w:rsid w:val="00BA203C"/>
    <w:rsid w:val="00BA30BC"/>
    <w:rsid w:val="00BA36A3"/>
    <w:rsid w:val="00BA4AF3"/>
    <w:rsid w:val="00BA5E0E"/>
    <w:rsid w:val="00BA64F9"/>
    <w:rsid w:val="00BA7878"/>
    <w:rsid w:val="00BB0404"/>
    <w:rsid w:val="00BB0589"/>
    <w:rsid w:val="00BB1716"/>
    <w:rsid w:val="00BB1897"/>
    <w:rsid w:val="00BB1ECF"/>
    <w:rsid w:val="00BB2708"/>
    <w:rsid w:val="00BB31EF"/>
    <w:rsid w:val="00BB3312"/>
    <w:rsid w:val="00BB3FFF"/>
    <w:rsid w:val="00BB58F9"/>
    <w:rsid w:val="00BB689B"/>
    <w:rsid w:val="00BB7E9C"/>
    <w:rsid w:val="00BC0415"/>
    <w:rsid w:val="00BC0B1E"/>
    <w:rsid w:val="00BC1057"/>
    <w:rsid w:val="00BC1444"/>
    <w:rsid w:val="00BC1A7E"/>
    <w:rsid w:val="00BC2123"/>
    <w:rsid w:val="00BC35D8"/>
    <w:rsid w:val="00BC3666"/>
    <w:rsid w:val="00BC454A"/>
    <w:rsid w:val="00BC5209"/>
    <w:rsid w:val="00BC55B4"/>
    <w:rsid w:val="00BD044B"/>
    <w:rsid w:val="00BD1E77"/>
    <w:rsid w:val="00BD266E"/>
    <w:rsid w:val="00BD3D65"/>
    <w:rsid w:val="00BD3E50"/>
    <w:rsid w:val="00BD4885"/>
    <w:rsid w:val="00BD50CF"/>
    <w:rsid w:val="00BD5664"/>
    <w:rsid w:val="00BD59CC"/>
    <w:rsid w:val="00BD6076"/>
    <w:rsid w:val="00BD6F4A"/>
    <w:rsid w:val="00BD723E"/>
    <w:rsid w:val="00BE0593"/>
    <w:rsid w:val="00BE0AD2"/>
    <w:rsid w:val="00BE1F9A"/>
    <w:rsid w:val="00BE2CE7"/>
    <w:rsid w:val="00BE37C4"/>
    <w:rsid w:val="00BE3BE9"/>
    <w:rsid w:val="00BE411E"/>
    <w:rsid w:val="00BE44F4"/>
    <w:rsid w:val="00BE4E48"/>
    <w:rsid w:val="00BE5A25"/>
    <w:rsid w:val="00BE5C40"/>
    <w:rsid w:val="00BE7532"/>
    <w:rsid w:val="00BE7970"/>
    <w:rsid w:val="00BF09B6"/>
    <w:rsid w:val="00BF1B22"/>
    <w:rsid w:val="00BF23B4"/>
    <w:rsid w:val="00BF33F5"/>
    <w:rsid w:val="00BF4035"/>
    <w:rsid w:val="00BF46C3"/>
    <w:rsid w:val="00BF4A9D"/>
    <w:rsid w:val="00BF7E49"/>
    <w:rsid w:val="00C00611"/>
    <w:rsid w:val="00C00AFB"/>
    <w:rsid w:val="00C012C7"/>
    <w:rsid w:val="00C02E49"/>
    <w:rsid w:val="00C03298"/>
    <w:rsid w:val="00C04019"/>
    <w:rsid w:val="00C04152"/>
    <w:rsid w:val="00C0538B"/>
    <w:rsid w:val="00C058C4"/>
    <w:rsid w:val="00C07258"/>
    <w:rsid w:val="00C077C1"/>
    <w:rsid w:val="00C1103B"/>
    <w:rsid w:val="00C11C7F"/>
    <w:rsid w:val="00C11FBF"/>
    <w:rsid w:val="00C1339B"/>
    <w:rsid w:val="00C13B69"/>
    <w:rsid w:val="00C152C6"/>
    <w:rsid w:val="00C154A2"/>
    <w:rsid w:val="00C15BF3"/>
    <w:rsid w:val="00C17DD1"/>
    <w:rsid w:val="00C17ED7"/>
    <w:rsid w:val="00C17F9F"/>
    <w:rsid w:val="00C21E85"/>
    <w:rsid w:val="00C2369D"/>
    <w:rsid w:val="00C23802"/>
    <w:rsid w:val="00C25652"/>
    <w:rsid w:val="00C25B13"/>
    <w:rsid w:val="00C25B15"/>
    <w:rsid w:val="00C25C0F"/>
    <w:rsid w:val="00C2622E"/>
    <w:rsid w:val="00C26390"/>
    <w:rsid w:val="00C26FE4"/>
    <w:rsid w:val="00C271A2"/>
    <w:rsid w:val="00C27980"/>
    <w:rsid w:val="00C27DA0"/>
    <w:rsid w:val="00C304B6"/>
    <w:rsid w:val="00C30D74"/>
    <w:rsid w:val="00C30F69"/>
    <w:rsid w:val="00C3285F"/>
    <w:rsid w:val="00C32D9C"/>
    <w:rsid w:val="00C3345B"/>
    <w:rsid w:val="00C337F9"/>
    <w:rsid w:val="00C35813"/>
    <w:rsid w:val="00C35AF2"/>
    <w:rsid w:val="00C36731"/>
    <w:rsid w:val="00C37540"/>
    <w:rsid w:val="00C40568"/>
    <w:rsid w:val="00C4128F"/>
    <w:rsid w:val="00C41511"/>
    <w:rsid w:val="00C4209E"/>
    <w:rsid w:val="00C423C6"/>
    <w:rsid w:val="00C425BA"/>
    <w:rsid w:val="00C42B73"/>
    <w:rsid w:val="00C42C13"/>
    <w:rsid w:val="00C42F89"/>
    <w:rsid w:val="00C44146"/>
    <w:rsid w:val="00C444D1"/>
    <w:rsid w:val="00C445C2"/>
    <w:rsid w:val="00C449F5"/>
    <w:rsid w:val="00C44E58"/>
    <w:rsid w:val="00C44E61"/>
    <w:rsid w:val="00C44E82"/>
    <w:rsid w:val="00C44EF4"/>
    <w:rsid w:val="00C44F1E"/>
    <w:rsid w:val="00C460A9"/>
    <w:rsid w:val="00C462DD"/>
    <w:rsid w:val="00C46EE0"/>
    <w:rsid w:val="00C47B5E"/>
    <w:rsid w:val="00C50EB1"/>
    <w:rsid w:val="00C525CD"/>
    <w:rsid w:val="00C5289D"/>
    <w:rsid w:val="00C5496D"/>
    <w:rsid w:val="00C55401"/>
    <w:rsid w:val="00C55E0C"/>
    <w:rsid w:val="00C56671"/>
    <w:rsid w:val="00C56E17"/>
    <w:rsid w:val="00C574F5"/>
    <w:rsid w:val="00C57C5F"/>
    <w:rsid w:val="00C6051B"/>
    <w:rsid w:val="00C60A9F"/>
    <w:rsid w:val="00C6103E"/>
    <w:rsid w:val="00C61370"/>
    <w:rsid w:val="00C61DB8"/>
    <w:rsid w:val="00C62370"/>
    <w:rsid w:val="00C624E3"/>
    <w:rsid w:val="00C626A0"/>
    <w:rsid w:val="00C62AFF"/>
    <w:rsid w:val="00C62B5A"/>
    <w:rsid w:val="00C62FE7"/>
    <w:rsid w:val="00C630FA"/>
    <w:rsid w:val="00C63C4E"/>
    <w:rsid w:val="00C63D6C"/>
    <w:rsid w:val="00C64715"/>
    <w:rsid w:val="00C672B1"/>
    <w:rsid w:val="00C717AA"/>
    <w:rsid w:val="00C7270C"/>
    <w:rsid w:val="00C7348D"/>
    <w:rsid w:val="00C739E3"/>
    <w:rsid w:val="00C73E78"/>
    <w:rsid w:val="00C751B0"/>
    <w:rsid w:val="00C762DF"/>
    <w:rsid w:val="00C76628"/>
    <w:rsid w:val="00C76B19"/>
    <w:rsid w:val="00C76D37"/>
    <w:rsid w:val="00C80210"/>
    <w:rsid w:val="00C80FBB"/>
    <w:rsid w:val="00C81190"/>
    <w:rsid w:val="00C81D89"/>
    <w:rsid w:val="00C81DED"/>
    <w:rsid w:val="00C829DE"/>
    <w:rsid w:val="00C84E84"/>
    <w:rsid w:val="00C850EC"/>
    <w:rsid w:val="00C85B8A"/>
    <w:rsid w:val="00C8683F"/>
    <w:rsid w:val="00C86C59"/>
    <w:rsid w:val="00C873FB"/>
    <w:rsid w:val="00C87688"/>
    <w:rsid w:val="00C878D1"/>
    <w:rsid w:val="00C87C13"/>
    <w:rsid w:val="00C87C80"/>
    <w:rsid w:val="00C90C38"/>
    <w:rsid w:val="00C90E96"/>
    <w:rsid w:val="00C91345"/>
    <w:rsid w:val="00C924AA"/>
    <w:rsid w:val="00C92A56"/>
    <w:rsid w:val="00C92F62"/>
    <w:rsid w:val="00C94F7A"/>
    <w:rsid w:val="00C950FD"/>
    <w:rsid w:val="00C960BA"/>
    <w:rsid w:val="00C96B15"/>
    <w:rsid w:val="00C97387"/>
    <w:rsid w:val="00C97759"/>
    <w:rsid w:val="00C9789A"/>
    <w:rsid w:val="00C97AD1"/>
    <w:rsid w:val="00C97C81"/>
    <w:rsid w:val="00CA0455"/>
    <w:rsid w:val="00CA07A6"/>
    <w:rsid w:val="00CA0855"/>
    <w:rsid w:val="00CA0EDE"/>
    <w:rsid w:val="00CA1382"/>
    <w:rsid w:val="00CA1617"/>
    <w:rsid w:val="00CA1878"/>
    <w:rsid w:val="00CA209F"/>
    <w:rsid w:val="00CA2E4B"/>
    <w:rsid w:val="00CA2F86"/>
    <w:rsid w:val="00CA35E6"/>
    <w:rsid w:val="00CA5A62"/>
    <w:rsid w:val="00CA615A"/>
    <w:rsid w:val="00CA6317"/>
    <w:rsid w:val="00CA73EA"/>
    <w:rsid w:val="00CA74EA"/>
    <w:rsid w:val="00CA77E7"/>
    <w:rsid w:val="00CA79C3"/>
    <w:rsid w:val="00CB012C"/>
    <w:rsid w:val="00CB11A8"/>
    <w:rsid w:val="00CB1446"/>
    <w:rsid w:val="00CB14ED"/>
    <w:rsid w:val="00CB2670"/>
    <w:rsid w:val="00CB290D"/>
    <w:rsid w:val="00CB42E0"/>
    <w:rsid w:val="00CB5355"/>
    <w:rsid w:val="00CB7802"/>
    <w:rsid w:val="00CC03F1"/>
    <w:rsid w:val="00CC1BA9"/>
    <w:rsid w:val="00CC1F59"/>
    <w:rsid w:val="00CC22E7"/>
    <w:rsid w:val="00CC258D"/>
    <w:rsid w:val="00CC25C4"/>
    <w:rsid w:val="00CC26FF"/>
    <w:rsid w:val="00CC2766"/>
    <w:rsid w:val="00CC4236"/>
    <w:rsid w:val="00CC477D"/>
    <w:rsid w:val="00CC4A0D"/>
    <w:rsid w:val="00CC54AC"/>
    <w:rsid w:val="00CC67AF"/>
    <w:rsid w:val="00CC7738"/>
    <w:rsid w:val="00CD1296"/>
    <w:rsid w:val="00CD13A6"/>
    <w:rsid w:val="00CD2129"/>
    <w:rsid w:val="00CD2145"/>
    <w:rsid w:val="00CD2819"/>
    <w:rsid w:val="00CD38E3"/>
    <w:rsid w:val="00CD7241"/>
    <w:rsid w:val="00CE00F2"/>
    <w:rsid w:val="00CE040F"/>
    <w:rsid w:val="00CE0879"/>
    <w:rsid w:val="00CE0E56"/>
    <w:rsid w:val="00CE14D4"/>
    <w:rsid w:val="00CE3E1E"/>
    <w:rsid w:val="00CE488D"/>
    <w:rsid w:val="00CE493D"/>
    <w:rsid w:val="00CE5FDE"/>
    <w:rsid w:val="00CE64FA"/>
    <w:rsid w:val="00CE746E"/>
    <w:rsid w:val="00CE7F74"/>
    <w:rsid w:val="00CF046A"/>
    <w:rsid w:val="00CF07B1"/>
    <w:rsid w:val="00CF3F82"/>
    <w:rsid w:val="00CF44D9"/>
    <w:rsid w:val="00CF5F3C"/>
    <w:rsid w:val="00CF6B51"/>
    <w:rsid w:val="00CF6CB4"/>
    <w:rsid w:val="00CF70B5"/>
    <w:rsid w:val="00CF7DEB"/>
    <w:rsid w:val="00CF7F3E"/>
    <w:rsid w:val="00D0002F"/>
    <w:rsid w:val="00D000C2"/>
    <w:rsid w:val="00D00997"/>
    <w:rsid w:val="00D00CC3"/>
    <w:rsid w:val="00D00F89"/>
    <w:rsid w:val="00D0126B"/>
    <w:rsid w:val="00D025E7"/>
    <w:rsid w:val="00D02A8E"/>
    <w:rsid w:val="00D04319"/>
    <w:rsid w:val="00D05748"/>
    <w:rsid w:val="00D05AAA"/>
    <w:rsid w:val="00D05B19"/>
    <w:rsid w:val="00D104D0"/>
    <w:rsid w:val="00D11088"/>
    <w:rsid w:val="00D11811"/>
    <w:rsid w:val="00D12D55"/>
    <w:rsid w:val="00D15027"/>
    <w:rsid w:val="00D200AA"/>
    <w:rsid w:val="00D20BBB"/>
    <w:rsid w:val="00D215DB"/>
    <w:rsid w:val="00D21875"/>
    <w:rsid w:val="00D24A1C"/>
    <w:rsid w:val="00D24C20"/>
    <w:rsid w:val="00D25B29"/>
    <w:rsid w:val="00D26694"/>
    <w:rsid w:val="00D26B5E"/>
    <w:rsid w:val="00D27536"/>
    <w:rsid w:val="00D27ED2"/>
    <w:rsid w:val="00D319B8"/>
    <w:rsid w:val="00D31D37"/>
    <w:rsid w:val="00D32464"/>
    <w:rsid w:val="00D34B4E"/>
    <w:rsid w:val="00D34C66"/>
    <w:rsid w:val="00D35863"/>
    <w:rsid w:val="00D36AC1"/>
    <w:rsid w:val="00D4120F"/>
    <w:rsid w:val="00D420C8"/>
    <w:rsid w:val="00D424CA"/>
    <w:rsid w:val="00D4274A"/>
    <w:rsid w:val="00D4312C"/>
    <w:rsid w:val="00D43832"/>
    <w:rsid w:val="00D438F7"/>
    <w:rsid w:val="00D43ABB"/>
    <w:rsid w:val="00D4426F"/>
    <w:rsid w:val="00D44E5B"/>
    <w:rsid w:val="00D4520D"/>
    <w:rsid w:val="00D4571E"/>
    <w:rsid w:val="00D46129"/>
    <w:rsid w:val="00D46E7C"/>
    <w:rsid w:val="00D470D9"/>
    <w:rsid w:val="00D50107"/>
    <w:rsid w:val="00D51252"/>
    <w:rsid w:val="00D51AA8"/>
    <w:rsid w:val="00D5242F"/>
    <w:rsid w:val="00D52FF2"/>
    <w:rsid w:val="00D53D62"/>
    <w:rsid w:val="00D542ED"/>
    <w:rsid w:val="00D54D19"/>
    <w:rsid w:val="00D55143"/>
    <w:rsid w:val="00D55A60"/>
    <w:rsid w:val="00D566B9"/>
    <w:rsid w:val="00D572C2"/>
    <w:rsid w:val="00D57450"/>
    <w:rsid w:val="00D60B82"/>
    <w:rsid w:val="00D61544"/>
    <w:rsid w:val="00D62215"/>
    <w:rsid w:val="00D62E38"/>
    <w:rsid w:val="00D63047"/>
    <w:rsid w:val="00D6381F"/>
    <w:rsid w:val="00D6445F"/>
    <w:rsid w:val="00D6464E"/>
    <w:rsid w:val="00D64BE1"/>
    <w:rsid w:val="00D65086"/>
    <w:rsid w:val="00D650C3"/>
    <w:rsid w:val="00D661E6"/>
    <w:rsid w:val="00D6653E"/>
    <w:rsid w:val="00D66760"/>
    <w:rsid w:val="00D676A8"/>
    <w:rsid w:val="00D67E1B"/>
    <w:rsid w:val="00D70204"/>
    <w:rsid w:val="00D702AD"/>
    <w:rsid w:val="00D70B91"/>
    <w:rsid w:val="00D70E5A"/>
    <w:rsid w:val="00D721FA"/>
    <w:rsid w:val="00D72310"/>
    <w:rsid w:val="00D72A15"/>
    <w:rsid w:val="00D72A76"/>
    <w:rsid w:val="00D72A7E"/>
    <w:rsid w:val="00D750B1"/>
    <w:rsid w:val="00D75236"/>
    <w:rsid w:val="00D77197"/>
    <w:rsid w:val="00D807CD"/>
    <w:rsid w:val="00D81804"/>
    <w:rsid w:val="00D81E42"/>
    <w:rsid w:val="00D82475"/>
    <w:rsid w:val="00D82F5F"/>
    <w:rsid w:val="00D834A4"/>
    <w:rsid w:val="00D83A13"/>
    <w:rsid w:val="00D83EBC"/>
    <w:rsid w:val="00D83F03"/>
    <w:rsid w:val="00D84426"/>
    <w:rsid w:val="00D845EB"/>
    <w:rsid w:val="00D85EC1"/>
    <w:rsid w:val="00D85F95"/>
    <w:rsid w:val="00D877A3"/>
    <w:rsid w:val="00D904EA"/>
    <w:rsid w:val="00D9075D"/>
    <w:rsid w:val="00D919D7"/>
    <w:rsid w:val="00D9269B"/>
    <w:rsid w:val="00D93C6F"/>
    <w:rsid w:val="00D94435"/>
    <w:rsid w:val="00D948BD"/>
    <w:rsid w:val="00D94A20"/>
    <w:rsid w:val="00D95346"/>
    <w:rsid w:val="00D954A3"/>
    <w:rsid w:val="00D95615"/>
    <w:rsid w:val="00D95F6E"/>
    <w:rsid w:val="00D961D6"/>
    <w:rsid w:val="00D969B5"/>
    <w:rsid w:val="00D97DFE"/>
    <w:rsid w:val="00D97F54"/>
    <w:rsid w:val="00DA066F"/>
    <w:rsid w:val="00DA0685"/>
    <w:rsid w:val="00DA09DF"/>
    <w:rsid w:val="00DA16F8"/>
    <w:rsid w:val="00DA1A31"/>
    <w:rsid w:val="00DA281C"/>
    <w:rsid w:val="00DA2D5F"/>
    <w:rsid w:val="00DA2EE2"/>
    <w:rsid w:val="00DA3AE2"/>
    <w:rsid w:val="00DA3D27"/>
    <w:rsid w:val="00DA43A9"/>
    <w:rsid w:val="00DA4CE7"/>
    <w:rsid w:val="00DA7999"/>
    <w:rsid w:val="00DA7C70"/>
    <w:rsid w:val="00DA7D04"/>
    <w:rsid w:val="00DA7D1C"/>
    <w:rsid w:val="00DA7F4E"/>
    <w:rsid w:val="00DB0031"/>
    <w:rsid w:val="00DB01DD"/>
    <w:rsid w:val="00DB0B5D"/>
    <w:rsid w:val="00DB0BB7"/>
    <w:rsid w:val="00DB1C04"/>
    <w:rsid w:val="00DB1F49"/>
    <w:rsid w:val="00DB2A19"/>
    <w:rsid w:val="00DB37D6"/>
    <w:rsid w:val="00DB622D"/>
    <w:rsid w:val="00DB7378"/>
    <w:rsid w:val="00DB74DF"/>
    <w:rsid w:val="00DC12FE"/>
    <w:rsid w:val="00DC1BC2"/>
    <w:rsid w:val="00DC28A3"/>
    <w:rsid w:val="00DC36C2"/>
    <w:rsid w:val="00DC3BF2"/>
    <w:rsid w:val="00DC457A"/>
    <w:rsid w:val="00DC5688"/>
    <w:rsid w:val="00DC5960"/>
    <w:rsid w:val="00DC6147"/>
    <w:rsid w:val="00DC72DB"/>
    <w:rsid w:val="00DD0899"/>
    <w:rsid w:val="00DD451A"/>
    <w:rsid w:val="00DD593D"/>
    <w:rsid w:val="00DD5B04"/>
    <w:rsid w:val="00DD6E83"/>
    <w:rsid w:val="00DD7067"/>
    <w:rsid w:val="00DE0230"/>
    <w:rsid w:val="00DE03BC"/>
    <w:rsid w:val="00DE1D4E"/>
    <w:rsid w:val="00DE2517"/>
    <w:rsid w:val="00DE4A5F"/>
    <w:rsid w:val="00DE6048"/>
    <w:rsid w:val="00DE6C31"/>
    <w:rsid w:val="00DE6F23"/>
    <w:rsid w:val="00DF1E0C"/>
    <w:rsid w:val="00DF282B"/>
    <w:rsid w:val="00DF4977"/>
    <w:rsid w:val="00DF4A88"/>
    <w:rsid w:val="00DF528F"/>
    <w:rsid w:val="00DF5978"/>
    <w:rsid w:val="00DF637A"/>
    <w:rsid w:val="00DF671B"/>
    <w:rsid w:val="00DF689B"/>
    <w:rsid w:val="00DF6BBC"/>
    <w:rsid w:val="00DF6F38"/>
    <w:rsid w:val="00E000CB"/>
    <w:rsid w:val="00E006C6"/>
    <w:rsid w:val="00E00AC1"/>
    <w:rsid w:val="00E00BB3"/>
    <w:rsid w:val="00E01184"/>
    <w:rsid w:val="00E0200E"/>
    <w:rsid w:val="00E02126"/>
    <w:rsid w:val="00E0373E"/>
    <w:rsid w:val="00E038BF"/>
    <w:rsid w:val="00E04434"/>
    <w:rsid w:val="00E06747"/>
    <w:rsid w:val="00E073ED"/>
    <w:rsid w:val="00E11943"/>
    <w:rsid w:val="00E11962"/>
    <w:rsid w:val="00E11988"/>
    <w:rsid w:val="00E12643"/>
    <w:rsid w:val="00E156AF"/>
    <w:rsid w:val="00E15966"/>
    <w:rsid w:val="00E17057"/>
    <w:rsid w:val="00E173DF"/>
    <w:rsid w:val="00E20ACE"/>
    <w:rsid w:val="00E20D41"/>
    <w:rsid w:val="00E20EBB"/>
    <w:rsid w:val="00E21B66"/>
    <w:rsid w:val="00E227E7"/>
    <w:rsid w:val="00E22A3A"/>
    <w:rsid w:val="00E23918"/>
    <w:rsid w:val="00E23CB8"/>
    <w:rsid w:val="00E23E69"/>
    <w:rsid w:val="00E23F5C"/>
    <w:rsid w:val="00E24A6D"/>
    <w:rsid w:val="00E26BB9"/>
    <w:rsid w:val="00E2722D"/>
    <w:rsid w:val="00E275EA"/>
    <w:rsid w:val="00E27F57"/>
    <w:rsid w:val="00E30087"/>
    <w:rsid w:val="00E304EE"/>
    <w:rsid w:val="00E30CC9"/>
    <w:rsid w:val="00E31348"/>
    <w:rsid w:val="00E31817"/>
    <w:rsid w:val="00E32600"/>
    <w:rsid w:val="00E32973"/>
    <w:rsid w:val="00E33F84"/>
    <w:rsid w:val="00E34065"/>
    <w:rsid w:val="00E34ADB"/>
    <w:rsid w:val="00E4140B"/>
    <w:rsid w:val="00E42CF4"/>
    <w:rsid w:val="00E43BA0"/>
    <w:rsid w:val="00E43D3D"/>
    <w:rsid w:val="00E44883"/>
    <w:rsid w:val="00E44CA8"/>
    <w:rsid w:val="00E4685D"/>
    <w:rsid w:val="00E4752D"/>
    <w:rsid w:val="00E47AD8"/>
    <w:rsid w:val="00E50315"/>
    <w:rsid w:val="00E50722"/>
    <w:rsid w:val="00E5105C"/>
    <w:rsid w:val="00E511D3"/>
    <w:rsid w:val="00E52A7E"/>
    <w:rsid w:val="00E53E3E"/>
    <w:rsid w:val="00E56836"/>
    <w:rsid w:val="00E57F5D"/>
    <w:rsid w:val="00E60708"/>
    <w:rsid w:val="00E60EA0"/>
    <w:rsid w:val="00E62B67"/>
    <w:rsid w:val="00E6306A"/>
    <w:rsid w:val="00E6392C"/>
    <w:rsid w:val="00E63E80"/>
    <w:rsid w:val="00E64854"/>
    <w:rsid w:val="00E65139"/>
    <w:rsid w:val="00E65722"/>
    <w:rsid w:val="00E65913"/>
    <w:rsid w:val="00E66DA1"/>
    <w:rsid w:val="00E70B00"/>
    <w:rsid w:val="00E710E9"/>
    <w:rsid w:val="00E72148"/>
    <w:rsid w:val="00E721AD"/>
    <w:rsid w:val="00E727FE"/>
    <w:rsid w:val="00E7327C"/>
    <w:rsid w:val="00E74D62"/>
    <w:rsid w:val="00E76E85"/>
    <w:rsid w:val="00E77C45"/>
    <w:rsid w:val="00E8080B"/>
    <w:rsid w:val="00E838BC"/>
    <w:rsid w:val="00E844C2"/>
    <w:rsid w:val="00E84EE9"/>
    <w:rsid w:val="00E8525C"/>
    <w:rsid w:val="00E8538D"/>
    <w:rsid w:val="00E85492"/>
    <w:rsid w:val="00E87739"/>
    <w:rsid w:val="00E8776C"/>
    <w:rsid w:val="00E87FF3"/>
    <w:rsid w:val="00E905B1"/>
    <w:rsid w:val="00E9192B"/>
    <w:rsid w:val="00E91DA6"/>
    <w:rsid w:val="00E92803"/>
    <w:rsid w:val="00E92A21"/>
    <w:rsid w:val="00E92F41"/>
    <w:rsid w:val="00E94AB6"/>
    <w:rsid w:val="00E96B9B"/>
    <w:rsid w:val="00EA008C"/>
    <w:rsid w:val="00EA14AF"/>
    <w:rsid w:val="00EA177B"/>
    <w:rsid w:val="00EA1C3D"/>
    <w:rsid w:val="00EA27D1"/>
    <w:rsid w:val="00EA32D2"/>
    <w:rsid w:val="00EA5958"/>
    <w:rsid w:val="00EA59BE"/>
    <w:rsid w:val="00EA5DAE"/>
    <w:rsid w:val="00EA72CE"/>
    <w:rsid w:val="00EA7B1D"/>
    <w:rsid w:val="00EB086E"/>
    <w:rsid w:val="00EB13C9"/>
    <w:rsid w:val="00EB167C"/>
    <w:rsid w:val="00EB1A0D"/>
    <w:rsid w:val="00EB1C1A"/>
    <w:rsid w:val="00EB1F80"/>
    <w:rsid w:val="00EB39C4"/>
    <w:rsid w:val="00EB42EE"/>
    <w:rsid w:val="00EB4605"/>
    <w:rsid w:val="00EB6C3A"/>
    <w:rsid w:val="00EB75CC"/>
    <w:rsid w:val="00EB75EF"/>
    <w:rsid w:val="00EB7A6D"/>
    <w:rsid w:val="00EB7B52"/>
    <w:rsid w:val="00EC07AC"/>
    <w:rsid w:val="00EC1182"/>
    <w:rsid w:val="00EC14C9"/>
    <w:rsid w:val="00EC2108"/>
    <w:rsid w:val="00EC2E72"/>
    <w:rsid w:val="00EC34E2"/>
    <w:rsid w:val="00EC4DD2"/>
    <w:rsid w:val="00EC5CFE"/>
    <w:rsid w:val="00EC68AC"/>
    <w:rsid w:val="00EC7BCC"/>
    <w:rsid w:val="00ED006A"/>
    <w:rsid w:val="00ED06DC"/>
    <w:rsid w:val="00ED097A"/>
    <w:rsid w:val="00ED0ADE"/>
    <w:rsid w:val="00ED0AE8"/>
    <w:rsid w:val="00ED1C37"/>
    <w:rsid w:val="00ED26CA"/>
    <w:rsid w:val="00ED3FBF"/>
    <w:rsid w:val="00ED4A76"/>
    <w:rsid w:val="00ED4B9F"/>
    <w:rsid w:val="00ED6AC1"/>
    <w:rsid w:val="00EE08B0"/>
    <w:rsid w:val="00EE0BA5"/>
    <w:rsid w:val="00EE0DFA"/>
    <w:rsid w:val="00EE1039"/>
    <w:rsid w:val="00EE1932"/>
    <w:rsid w:val="00EE2CDF"/>
    <w:rsid w:val="00EE37DA"/>
    <w:rsid w:val="00EE3BAC"/>
    <w:rsid w:val="00EE40BD"/>
    <w:rsid w:val="00EE59BF"/>
    <w:rsid w:val="00EE6DA1"/>
    <w:rsid w:val="00EE6EDE"/>
    <w:rsid w:val="00EE7865"/>
    <w:rsid w:val="00EF08E8"/>
    <w:rsid w:val="00EF12D1"/>
    <w:rsid w:val="00EF197C"/>
    <w:rsid w:val="00EF2213"/>
    <w:rsid w:val="00EF478B"/>
    <w:rsid w:val="00EF4BDF"/>
    <w:rsid w:val="00EF4F9B"/>
    <w:rsid w:val="00EF545C"/>
    <w:rsid w:val="00EF58E4"/>
    <w:rsid w:val="00EF64A6"/>
    <w:rsid w:val="00EF6540"/>
    <w:rsid w:val="00EF6C21"/>
    <w:rsid w:val="00EF6E2C"/>
    <w:rsid w:val="00F00EA4"/>
    <w:rsid w:val="00F01688"/>
    <w:rsid w:val="00F02542"/>
    <w:rsid w:val="00F02F2E"/>
    <w:rsid w:val="00F037C1"/>
    <w:rsid w:val="00F07EC0"/>
    <w:rsid w:val="00F101F2"/>
    <w:rsid w:val="00F13700"/>
    <w:rsid w:val="00F13B1A"/>
    <w:rsid w:val="00F1526F"/>
    <w:rsid w:val="00F177D9"/>
    <w:rsid w:val="00F21218"/>
    <w:rsid w:val="00F223E4"/>
    <w:rsid w:val="00F2268C"/>
    <w:rsid w:val="00F22CAB"/>
    <w:rsid w:val="00F230A1"/>
    <w:rsid w:val="00F235C1"/>
    <w:rsid w:val="00F258FC"/>
    <w:rsid w:val="00F25D60"/>
    <w:rsid w:val="00F2652A"/>
    <w:rsid w:val="00F27210"/>
    <w:rsid w:val="00F3087B"/>
    <w:rsid w:val="00F30912"/>
    <w:rsid w:val="00F30A49"/>
    <w:rsid w:val="00F3102C"/>
    <w:rsid w:val="00F313AB"/>
    <w:rsid w:val="00F319E8"/>
    <w:rsid w:val="00F32B9E"/>
    <w:rsid w:val="00F336B0"/>
    <w:rsid w:val="00F33D7D"/>
    <w:rsid w:val="00F3463B"/>
    <w:rsid w:val="00F35275"/>
    <w:rsid w:val="00F355C8"/>
    <w:rsid w:val="00F35F36"/>
    <w:rsid w:val="00F366D6"/>
    <w:rsid w:val="00F36EEF"/>
    <w:rsid w:val="00F36F7F"/>
    <w:rsid w:val="00F376AE"/>
    <w:rsid w:val="00F40FF9"/>
    <w:rsid w:val="00F419D7"/>
    <w:rsid w:val="00F41C15"/>
    <w:rsid w:val="00F43B29"/>
    <w:rsid w:val="00F44B8B"/>
    <w:rsid w:val="00F44F52"/>
    <w:rsid w:val="00F45E4D"/>
    <w:rsid w:val="00F464C4"/>
    <w:rsid w:val="00F46A2C"/>
    <w:rsid w:val="00F47214"/>
    <w:rsid w:val="00F50077"/>
    <w:rsid w:val="00F50562"/>
    <w:rsid w:val="00F508DB"/>
    <w:rsid w:val="00F50F50"/>
    <w:rsid w:val="00F510C4"/>
    <w:rsid w:val="00F51709"/>
    <w:rsid w:val="00F51B3A"/>
    <w:rsid w:val="00F52347"/>
    <w:rsid w:val="00F529A4"/>
    <w:rsid w:val="00F54425"/>
    <w:rsid w:val="00F551BE"/>
    <w:rsid w:val="00F55E4D"/>
    <w:rsid w:val="00F56992"/>
    <w:rsid w:val="00F56BA9"/>
    <w:rsid w:val="00F56C4E"/>
    <w:rsid w:val="00F57791"/>
    <w:rsid w:val="00F57F72"/>
    <w:rsid w:val="00F60AED"/>
    <w:rsid w:val="00F61A0E"/>
    <w:rsid w:val="00F6352A"/>
    <w:rsid w:val="00F63F71"/>
    <w:rsid w:val="00F64050"/>
    <w:rsid w:val="00F64150"/>
    <w:rsid w:val="00F64588"/>
    <w:rsid w:val="00F652D0"/>
    <w:rsid w:val="00F66193"/>
    <w:rsid w:val="00F66D4D"/>
    <w:rsid w:val="00F675C9"/>
    <w:rsid w:val="00F705C1"/>
    <w:rsid w:val="00F71922"/>
    <w:rsid w:val="00F745F6"/>
    <w:rsid w:val="00F748BB"/>
    <w:rsid w:val="00F74963"/>
    <w:rsid w:val="00F74995"/>
    <w:rsid w:val="00F74BA6"/>
    <w:rsid w:val="00F776F7"/>
    <w:rsid w:val="00F779C7"/>
    <w:rsid w:val="00F825DC"/>
    <w:rsid w:val="00F825EF"/>
    <w:rsid w:val="00F82ABF"/>
    <w:rsid w:val="00F8330E"/>
    <w:rsid w:val="00F854A6"/>
    <w:rsid w:val="00F85F5F"/>
    <w:rsid w:val="00F876BB"/>
    <w:rsid w:val="00F87C83"/>
    <w:rsid w:val="00F910DD"/>
    <w:rsid w:val="00F91CC1"/>
    <w:rsid w:val="00F934A3"/>
    <w:rsid w:val="00F93FDE"/>
    <w:rsid w:val="00F9422E"/>
    <w:rsid w:val="00F95872"/>
    <w:rsid w:val="00F95A61"/>
    <w:rsid w:val="00F95CA2"/>
    <w:rsid w:val="00F95F98"/>
    <w:rsid w:val="00F962F0"/>
    <w:rsid w:val="00F9698D"/>
    <w:rsid w:val="00F974D6"/>
    <w:rsid w:val="00FA0C8B"/>
    <w:rsid w:val="00FA1EBE"/>
    <w:rsid w:val="00FA244A"/>
    <w:rsid w:val="00FA24EA"/>
    <w:rsid w:val="00FA2B9F"/>
    <w:rsid w:val="00FA3D36"/>
    <w:rsid w:val="00FA46E1"/>
    <w:rsid w:val="00FA4C9F"/>
    <w:rsid w:val="00FA5AAA"/>
    <w:rsid w:val="00FA5D9A"/>
    <w:rsid w:val="00FA6499"/>
    <w:rsid w:val="00FA7EDC"/>
    <w:rsid w:val="00FB026F"/>
    <w:rsid w:val="00FB09F8"/>
    <w:rsid w:val="00FB1395"/>
    <w:rsid w:val="00FB2192"/>
    <w:rsid w:val="00FB2F96"/>
    <w:rsid w:val="00FB4B36"/>
    <w:rsid w:val="00FB5E16"/>
    <w:rsid w:val="00FB682D"/>
    <w:rsid w:val="00FB7418"/>
    <w:rsid w:val="00FC25C1"/>
    <w:rsid w:val="00FC3E9B"/>
    <w:rsid w:val="00FC475B"/>
    <w:rsid w:val="00FC7EAE"/>
    <w:rsid w:val="00FD00DE"/>
    <w:rsid w:val="00FD02A2"/>
    <w:rsid w:val="00FD0A24"/>
    <w:rsid w:val="00FD0CD1"/>
    <w:rsid w:val="00FD14E9"/>
    <w:rsid w:val="00FD15A8"/>
    <w:rsid w:val="00FD1828"/>
    <w:rsid w:val="00FD1BA6"/>
    <w:rsid w:val="00FD26A7"/>
    <w:rsid w:val="00FD3C55"/>
    <w:rsid w:val="00FD502D"/>
    <w:rsid w:val="00FD641F"/>
    <w:rsid w:val="00FD65B7"/>
    <w:rsid w:val="00FD679D"/>
    <w:rsid w:val="00FD6B7E"/>
    <w:rsid w:val="00FD7712"/>
    <w:rsid w:val="00FE0270"/>
    <w:rsid w:val="00FE25AC"/>
    <w:rsid w:val="00FE25CC"/>
    <w:rsid w:val="00FE2CEC"/>
    <w:rsid w:val="00FE2E1E"/>
    <w:rsid w:val="00FE483A"/>
    <w:rsid w:val="00FE4A88"/>
    <w:rsid w:val="00FE5983"/>
    <w:rsid w:val="00FE5F74"/>
    <w:rsid w:val="00FE62BF"/>
    <w:rsid w:val="00FE67D9"/>
    <w:rsid w:val="00FE6A5F"/>
    <w:rsid w:val="00FE7D1A"/>
    <w:rsid w:val="00FE7E5C"/>
    <w:rsid w:val="00FF034D"/>
    <w:rsid w:val="00FF04AC"/>
    <w:rsid w:val="00FF1444"/>
    <w:rsid w:val="00FF18F7"/>
    <w:rsid w:val="00FF3248"/>
    <w:rsid w:val="00FF3B53"/>
    <w:rsid w:val="00FF4F52"/>
    <w:rsid w:val="00FF554E"/>
    <w:rsid w:val="00FF5DA7"/>
    <w:rsid w:val="00FF5DD2"/>
    <w:rsid w:val="00FF69FD"/>
    <w:rsid w:val="043164D2"/>
    <w:rsid w:val="0604768C"/>
    <w:rsid w:val="06C419D4"/>
    <w:rsid w:val="06D73361"/>
    <w:rsid w:val="07724EF6"/>
    <w:rsid w:val="079959C0"/>
    <w:rsid w:val="08802B67"/>
    <w:rsid w:val="0B8778CB"/>
    <w:rsid w:val="0CAD06C0"/>
    <w:rsid w:val="0D9A5FE5"/>
    <w:rsid w:val="0DC44DD3"/>
    <w:rsid w:val="0F563291"/>
    <w:rsid w:val="100827DD"/>
    <w:rsid w:val="13AC7923"/>
    <w:rsid w:val="14080BE4"/>
    <w:rsid w:val="155279BA"/>
    <w:rsid w:val="16117336"/>
    <w:rsid w:val="166F227A"/>
    <w:rsid w:val="172D48D7"/>
    <w:rsid w:val="18A21AD3"/>
    <w:rsid w:val="196C1ACE"/>
    <w:rsid w:val="1A726C0E"/>
    <w:rsid w:val="1CCA10CA"/>
    <w:rsid w:val="1E655297"/>
    <w:rsid w:val="206F2A21"/>
    <w:rsid w:val="22170CAD"/>
    <w:rsid w:val="23936913"/>
    <w:rsid w:val="23A27905"/>
    <w:rsid w:val="23C91E2B"/>
    <w:rsid w:val="246A3B6A"/>
    <w:rsid w:val="25B97C2B"/>
    <w:rsid w:val="266213CE"/>
    <w:rsid w:val="26AC3A6A"/>
    <w:rsid w:val="2C275941"/>
    <w:rsid w:val="2C3665A3"/>
    <w:rsid w:val="2C8903AA"/>
    <w:rsid w:val="2E420064"/>
    <w:rsid w:val="2ED026DB"/>
    <w:rsid w:val="2ED10AFD"/>
    <w:rsid w:val="30A9562F"/>
    <w:rsid w:val="31C47451"/>
    <w:rsid w:val="31E829B1"/>
    <w:rsid w:val="32304145"/>
    <w:rsid w:val="35386E11"/>
    <w:rsid w:val="35507CB7"/>
    <w:rsid w:val="38D40BFF"/>
    <w:rsid w:val="39F94DC1"/>
    <w:rsid w:val="3AD34A4E"/>
    <w:rsid w:val="3B4B164C"/>
    <w:rsid w:val="3BF44191"/>
    <w:rsid w:val="3C965CA7"/>
    <w:rsid w:val="3D302BB8"/>
    <w:rsid w:val="3D8F6A75"/>
    <w:rsid w:val="409E460A"/>
    <w:rsid w:val="434E1BCA"/>
    <w:rsid w:val="43505326"/>
    <w:rsid w:val="462128E4"/>
    <w:rsid w:val="48183B9D"/>
    <w:rsid w:val="48FF4B47"/>
    <w:rsid w:val="499C41D0"/>
    <w:rsid w:val="4BE86413"/>
    <w:rsid w:val="4E6525CD"/>
    <w:rsid w:val="4ED92673"/>
    <w:rsid w:val="501A0A43"/>
    <w:rsid w:val="50B138A7"/>
    <w:rsid w:val="5385101B"/>
    <w:rsid w:val="541A5C08"/>
    <w:rsid w:val="54BA4CF5"/>
    <w:rsid w:val="554C3B9F"/>
    <w:rsid w:val="59EE791A"/>
    <w:rsid w:val="5A2339A8"/>
    <w:rsid w:val="5A9D55DF"/>
    <w:rsid w:val="5AE65E80"/>
    <w:rsid w:val="5CB54ED3"/>
    <w:rsid w:val="5D447851"/>
    <w:rsid w:val="5E284C84"/>
    <w:rsid w:val="5E7013D3"/>
    <w:rsid w:val="5E8E6FD6"/>
    <w:rsid w:val="5F864151"/>
    <w:rsid w:val="628A1441"/>
    <w:rsid w:val="638B6BC5"/>
    <w:rsid w:val="63F773CC"/>
    <w:rsid w:val="65F44E75"/>
    <w:rsid w:val="674A4273"/>
    <w:rsid w:val="67A55390"/>
    <w:rsid w:val="6864524C"/>
    <w:rsid w:val="6C264BD5"/>
    <w:rsid w:val="6C423AF6"/>
    <w:rsid w:val="6C6F401E"/>
    <w:rsid w:val="6CBA0FE1"/>
    <w:rsid w:val="6EED077F"/>
    <w:rsid w:val="70231548"/>
    <w:rsid w:val="737B47F2"/>
    <w:rsid w:val="73E6120B"/>
    <w:rsid w:val="740813EA"/>
    <w:rsid w:val="74A96225"/>
    <w:rsid w:val="752917D3"/>
    <w:rsid w:val="76707449"/>
    <w:rsid w:val="76744178"/>
    <w:rsid w:val="7798281C"/>
    <w:rsid w:val="77EFC41F"/>
    <w:rsid w:val="787119EB"/>
    <w:rsid w:val="78CA4C57"/>
    <w:rsid w:val="78EF1A00"/>
    <w:rsid w:val="79544EEC"/>
    <w:rsid w:val="797E13C1"/>
    <w:rsid w:val="7B081423"/>
    <w:rsid w:val="7E7C4C45"/>
    <w:rsid w:val="7FF01447"/>
    <w:rsid w:val="7FF36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3">
    <w:name w:val="heading 2"/>
    <w:next w:val="1"/>
    <w:link w:val="33"/>
    <w:semiHidden/>
    <w:unhideWhenUsed/>
    <w:qFormat/>
    <w:uiPriority w:val="9"/>
    <w:pPr>
      <w:keepNext/>
      <w:keepLines/>
      <w:widowControl w:val="0"/>
      <w:spacing w:before="260" w:after="260" w:line="416" w:lineRule="auto"/>
      <w:jc w:val="both"/>
      <w:outlineLvl w:val="1"/>
    </w:pPr>
    <w:rPr>
      <w:rFonts w:asciiTheme="majorHAnsi" w:hAnsiTheme="majorHAnsi" w:eastAsiaTheme="majorEastAsia" w:cstheme="majorBidi"/>
      <w:b/>
      <w:bCs/>
      <w:kern w:val="2"/>
      <w:sz w:val="32"/>
      <w:szCs w:val="32"/>
      <w:lang w:val="en-US" w:eastAsia="zh-CN" w:bidi="ar-SA"/>
    </w:rPr>
  </w:style>
  <w:style w:type="paragraph" w:styleId="4">
    <w:name w:val="heading 3"/>
    <w:next w:val="1"/>
    <w:link w:val="34"/>
    <w:semiHidden/>
    <w:unhideWhenUsed/>
    <w:qFormat/>
    <w:uiPriority w:val="9"/>
    <w:pPr>
      <w:keepNext/>
      <w:keepLines/>
      <w:widowControl w:val="0"/>
      <w:spacing w:before="260" w:after="260" w:line="416" w:lineRule="auto"/>
      <w:jc w:val="both"/>
      <w:outlineLvl w:val="2"/>
    </w:pPr>
    <w:rPr>
      <w:rFonts w:ascii="Times New Roman" w:hAnsi="Times New Roman" w:eastAsia="宋体" w:cs="Times New Roman"/>
      <w:b/>
      <w:bCs/>
      <w:kern w:val="2"/>
      <w:sz w:val="32"/>
      <w:szCs w:val="32"/>
      <w:lang w:val="en-US" w:eastAsia="zh-CN" w:bidi="ar-SA"/>
    </w:rPr>
  </w:style>
  <w:style w:type="paragraph" w:styleId="5">
    <w:name w:val="heading 4"/>
    <w:next w:val="1"/>
    <w:link w:val="35"/>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lang w:val="en-US" w:eastAsia="zh-CN" w:bidi="ar-SA"/>
    </w:rPr>
  </w:style>
  <w:style w:type="paragraph" w:styleId="6">
    <w:name w:val="heading 5"/>
    <w:next w:val="1"/>
    <w:link w:val="36"/>
    <w:semiHidden/>
    <w:unhideWhenUsed/>
    <w:qFormat/>
    <w:uiPriority w:val="9"/>
    <w:pPr>
      <w:keepNext/>
      <w:keepLines/>
      <w:widowControl w:val="0"/>
      <w:spacing w:before="280" w:after="290" w:line="376" w:lineRule="auto"/>
      <w:jc w:val="both"/>
      <w:outlineLvl w:val="4"/>
    </w:pPr>
    <w:rPr>
      <w:rFonts w:ascii="Times New Roman" w:hAnsi="Times New Roman" w:eastAsia="宋体" w:cs="Times New Roman"/>
      <w:b/>
      <w:bCs/>
      <w:kern w:val="2"/>
      <w:sz w:val="28"/>
      <w:szCs w:val="28"/>
      <w:lang w:val="en-US" w:eastAsia="zh-CN" w:bidi="ar-SA"/>
    </w:rPr>
  </w:style>
  <w:style w:type="paragraph" w:styleId="7">
    <w:name w:val="heading 6"/>
    <w:next w:val="1"/>
    <w:link w:val="37"/>
    <w:semiHidden/>
    <w:unhideWhenUsed/>
    <w:qFormat/>
    <w:uiPriority w:val="9"/>
    <w:pPr>
      <w:keepNext/>
      <w:keepLines/>
      <w:widowControl w:val="0"/>
      <w:spacing w:before="240" w:after="64" w:line="320" w:lineRule="auto"/>
      <w:jc w:val="both"/>
      <w:outlineLvl w:val="5"/>
    </w:pPr>
    <w:rPr>
      <w:rFonts w:asciiTheme="majorHAnsi" w:hAnsiTheme="majorHAnsi" w:eastAsiaTheme="majorEastAsia" w:cstheme="majorBidi"/>
      <w:b/>
      <w:bCs/>
      <w:kern w:val="2"/>
      <w:sz w:val="24"/>
      <w:szCs w:val="24"/>
      <w:lang w:val="en-US" w:eastAsia="zh-CN" w:bidi="ar-SA"/>
    </w:rPr>
  </w:style>
  <w:style w:type="paragraph" w:styleId="8">
    <w:name w:val="heading 7"/>
    <w:next w:val="1"/>
    <w:link w:val="38"/>
    <w:semiHidden/>
    <w:unhideWhenUsed/>
    <w:qFormat/>
    <w:uiPriority w:val="9"/>
    <w:pPr>
      <w:keepNext/>
      <w:keepLines/>
      <w:widowControl w:val="0"/>
      <w:spacing w:before="240" w:after="64" w:line="320" w:lineRule="auto"/>
      <w:jc w:val="both"/>
      <w:outlineLvl w:val="6"/>
    </w:pPr>
    <w:rPr>
      <w:rFonts w:ascii="Times New Roman" w:hAnsi="Times New Roman" w:eastAsia="宋体" w:cs="Times New Roman"/>
      <w:b/>
      <w:bCs/>
      <w:kern w:val="2"/>
      <w:sz w:val="24"/>
      <w:szCs w:val="24"/>
      <w:lang w:val="en-US" w:eastAsia="zh-CN" w:bidi="ar-SA"/>
    </w:rPr>
  </w:style>
  <w:style w:type="paragraph" w:styleId="9">
    <w:name w:val="heading 8"/>
    <w:next w:val="1"/>
    <w:link w:val="39"/>
    <w:semiHidden/>
    <w:unhideWhenUsed/>
    <w:qFormat/>
    <w:uiPriority w:val="9"/>
    <w:pPr>
      <w:keepNext/>
      <w:keepLines/>
      <w:widowControl w:val="0"/>
      <w:spacing w:before="240" w:after="64" w:line="320" w:lineRule="auto"/>
      <w:jc w:val="both"/>
      <w:outlineLvl w:val="7"/>
    </w:pPr>
    <w:rPr>
      <w:rFonts w:asciiTheme="majorHAnsi" w:hAnsiTheme="majorHAnsi" w:eastAsiaTheme="majorEastAsia" w:cstheme="majorBidi"/>
      <w:kern w:val="2"/>
      <w:sz w:val="24"/>
      <w:szCs w:val="24"/>
      <w:lang w:val="en-US" w:eastAsia="zh-CN" w:bidi="ar-SA"/>
    </w:rPr>
  </w:style>
  <w:style w:type="paragraph" w:styleId="10">
    <w:name w:val="heading 9"/>
    <w:next w:val="1"/>
    <w:link w:val="40"/>
    <w:semiHidden/>
    <w:unhideWhenUsed/>
    <w:qFormat/>
    <w:uiPriority w:val="9"/>
    <w:pPr>
      <w:keepNext/>
      <w:keepLines/>
      <w:widowControl w:val="0"/>
      <w:spacing w:before="240" w:after="64" w:line="320" w:lineRule="auto"/>
      <w:jc w:val="both"/>
      <w:outlineLvl w:val="8"/>
    </w:pPr>
    <w:rPr>
      <w:rFonts w:asciiTheme="majorHAnsi" w:hAnsiTheme="majorHAnsi" w:eastAsiaTheme="majorEastAsia" w:cstheme="majorBidi"/>
      <w:kern w:val="2"/>
      <w:szCs w:val="21"/>
      <w:lang w:val="en-US" w:eastAsia="zh-CN" w:bidi="ar-SA"/>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Times New Roman" w:hAnsi="Times New Roman" w:eastAsia="宋体" w:cs="Times New Roman"/>
      <w:kern w:val="2"/>
      <w:szCs w:val="21"/>
      <w:lang w:val="en-US" w:eastAsia="zh-CN" w:bidi="ar-SA"/>
    </w:rPr>
  </w:style>
  <w:style w:type="paragraph" w:styleId="12">
    <w:name w:val="annotation text"/>
    <w:basedOn w:val="1"/>
    <w:semiHidden/>
    <w:unhideWhenUsed/>
    <w:qFormat/>
    <w:uiPriority w:val="99"/>
    <w:pPr>
      <w:jc w:val="left"/>
    </w:pPr>
  </w:style>
  <w:style w:type="paragraph" w:styleId="13">
    <w:name w:val="Body Text"/>
    <w:basedOn w:val="1"/>
    <w:semiHidden/>
    <w:unhideWhenUsed/>
    <w:qFormat/>
    <w:uiPriority w:val="99"/>
    <w:pPr>
      <w:spacing w:after="120"/>
    </w:pPr>
  </w:style>
  <w:style w:type="paragraph" w:styleId="14">
    <w:name w:val="toc 5"/>
    <w:next w:val="1"/>
    <w:unhideWhenUsed/>
    <w:qFormat/>
    <w:uiPriority w:val="32"/>
    <w:pPr>
      <w:ind w:left="1700"/>
      <w:jc w:val="both"/>
    </w:pPr>
    <w:rPr>
      <w:rFonts w:ascii="Times New Roman" w:hAnsi="Times New Roman" w:eastAsia="宋体" w:cs="Times New Roman"/>
      <w:kern w:val="2"/>
      <w:szCs w:val="21"/>
      <w:lang w:val="en-US" w:eastAsia="zh-CN" w:bidi="ar-SA"/>
    </w:rPr>
  </w:style>
  <w:style w:type="paragraph" w:styleId="15">
    <w:name w:val="toc 3"/>
    <w:basedOn w:val="1"/>
    <w:next w:val="1"/>
    <w:unhideWhenUsed/>
    <w:qFormat/>
    <w:uiPriority w:val="30"/>
    <w:pPr>
      <w:ind w:left="440"/>
    </w:pPr>
    <w:rPr>
      <w:rFonts w:ascii="Calibri" w:hAnsi="Calibri"/>
      <w:sz w:val="22"/>
    </w:rPr>
  </w:style>
  <w:style w:type="paragraph" w:styleId="16">
    <w:name w:val="toc 8"/>
    <w:next w:val="1"/>
    <w:unhideWhenUsed/>
    <w:qFormat/>
    <w:uiPriority w:val="35"/>
    <w:pPr>
      <w:ind w:left="2975"/>
      <w:jc w:val="both"/>
    </w:pPr>
    <w:rPr>
      <w:rFonts w:ascii="Times New Roman" w:hAnsi="Times New Roman" w:eastAsia="宋体" w:cs="Times New Roman"/>
      <w:kern w:val="2"/>
      <w:szCs w:val="21"/>
      <w:lang w:val="en-US" w:eastAsia="zh-CN" w:bidi="ar-SA"/>
    </w:rPr>
  </w:style>
  <w:style w:type="paragraph" w:styleId="17">
    <w:name w:val="footer"/>
    <w:basedOn w:val="1"/>
    <w:link w:val="56"/>
    <w:unhideWhenUsed/>
    <w:qFormat/>
    <w:uiPriority w:val="99"/>
    <w:pPr>
      <w:tabs>
        <w:tab w:val="center" w:pos="4153"/>
        <w:tab w:val="right" w:pos="8306"/>
      </w:tabs>
      <w:snapToGrid w:val="0"/>
      <w:jc w:val="left"/>
    </w:pPr>
    <w:rPr>
      <w:sz w:val="18"/>
      <w:szCs w:val="18"/>
    </w:rPr>
  </w:style>
  <w:style w:type="paragraph" w:styleId="18">
    <w:name w:val="header"/>
    <w:basedOn w:val="1"/>
    <w:link w:val="55"/>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28"/>
    <w:rPr>
      <w:rFonts w:ascii="Calibri" w:hAnsi="Calibri"/>
      <w:sz w:val="22"/>
    </w:rPr>
  </w:style>
  <w:style w:type="paragraph" w:styleId="20">
    <w:name w:val="toc 4"/>
    <w:next w:val="1"/>
    <w:unhideWhenUsed/>
    <w:qFormat/>
    <w:uiPriority w:val="31"/>
    <w:pPr>
      <w:ind w:left="1275"/>
      <w:jc w:val="both"/>
    </w:pPr>
    <w:rPr>
      <w:rFonts w:ascii="Times New Roman" w:hAnsi="Times New Roman" w:eastAsia="宋体" w:cs="Times New Roman"/>
      <w:kern w:val="2"/>
      <w:szCs w:val="21"/>
      <w:lang w:val="en-US" w:eastAsia="zh-CN" w:bidi="ar-SA"/>
    </w:rPr>
  </w:style>
  <w:style w:type="paragraph" w:styleId="21">
    <w:name w:val="Subtitle"/>
    <w:link w:val="42"/>
    <w:qFormat/>
    <w:uiPriority w:val="11"/>
    <w:pPr>
      <w:widowControl w:val="0"/>
      <w:spacing w:before="240" w:after="60" w:line="312" w:lineRule="auto"/>
      <w:jc w:val="center"/>
      <w:outlineLvl w:val="1"/>
    </w:pPr>
    <w:rPr>
      <w:rFonts w:eastAsia="宋体" w:asciiTheme="majorHAnsi" w:hAnsiTheme="majorHAnsi" w:cstheme="majorBidi"/>
      <w:b/>
      <w:bCs/>
      <w:kern w:val="28"/>
      <w:sz w:val="32"/>
      <w:szCs w:val="32"/>
      <w:lang w:val="en-US" w:eastAsia="zh-CN" w:bidi="ar-SA"/>
    </w:rPr>
  </w:style>
  <w:style w:type="paragraph" w:styleId="22">
    <w:name w:val="toc 6"/>
    <w:next w:val="1"/>
    <w:unhideWhenUsed/>
    <w:qFormat/>
    <w:uiPriority w:val="33"/>
    <w:pPr>
      <w:ind w:left="2125"/>
      <w:jc w:val="both"/>
    </w:pPr>
    <w:rPr>
      <w:rFonts w:ascii="Times New Roman" w:hAnsi="Times New Roman" w:eastAsia="宋体" w:cs="Times New Roman"/>
      <w:kern w:val="2"/>
      <w:szCs w:val="21"/>
      <w:lang w:val="en-US" w:eastAsia="zh-CN" w:bidi="ar-SA"/>
    </w:rPr>
  </w:style>
  <w:style w:type="paragraph" w:styleId="23">
    <w:name w:val="toc 2"/>
    <w:basedOn w:val="1"/>
    <w:next w:val="1"/>
    <w:unhideWhenUsed/>
    <w:qFormat/>
    <w:uiPriority w:val="29"/>
    <w:pPr>
      <w:ind w:left="220"/>
    </w:pPr>
    <w:rPr>
      <w:rFonts w:ascii="Calibri" w:hAnsi="Calibri"/>
      <w:sz w:val="22"/>
    </w:rPr>
  </w:style>
  <w:style w:type="paragraph" w:styleId="24">
    <w:name w:val="toc 9"/>
    <w:next w:val="1"/>
    <w:unhideWhenUsed/>
    <w:qFormat/>
    <w:uiPriority w:val="36"/>
    <w:pPr>
      <w:ind w:left="3400"/>
      <w:jc w:val="both"/>
    </w:pPr>
    <w:rPr>
      <w:rFonts w:ascii="Times New Roman" w:hAnsi="Times New Roman" w:eastAsia="宋体" w:cs="Times New Roman"/>
      <w:kern w:val="2"/>
      <w:szCs w:val="21"/>
      <w:lang w:val="en-US" w:eastAsia="zh-CN" w:bidi="ar-SA"/>
    </w:rPr>
  </w:style>
  <w:style w:type="paragraph" w:styleId="25">
    <w:name w:val="Normal (Web)"/>
    <w:basedOn w:val="1"/>
    <w:qFormat/>
    <w:uiPriority w:val="99"/>
    <w:pPr>
      <w:spacing w:beforeAutospacing="1" w:afterAutospacing="1"/>
      <w:jc w:val="left"/>
    </w:pPr>
    <w:rPr>
      <w:rFonts w:asciiTheme="minorHAnsi" w:hAnsiTheme="minorHAnsi" w:eastAsiaTheme="minorEastAsia"/>
      <w:kern w:val="0"/>
      <w:sz w:val="24"/>
      <w:szCs w:val="24"/>
    </w:rPr>
  </w:style>
  <w:style w:type="paragraph" w:styleId="26">
    <w:name w:val="Title"/>
    <w:link w:val="41"/>
    <w:qFormat/>
    <w:uiPriority w:val="10"/>
    <w:pPr>
      <w:widowControl w:val="0"/>
      <w:spacing w:before="240" w:after="60"/>
      <w:jc w:val="center"/>
      <w:outlineLvl w:val="0"/>
    </w:pPr>
    <w:rPr>
      <w:rFonts w:eastAsia="宋体" w:asciiTheme="majorHAnsi" w:hAnsiTheme="majorHAnsi" w:cstheme="majorBidi"/>
      <w:b/>
      <w:bCs/>
      <w:kern w:val="2"/>
      <w:sz w:val="32"/>
      <w:szCs w:val="32"/>
      <w:lang w:val="en-US" w:eastAsia="zh-CN" w:bidi="ar-SA"/>
    </w:rPr>
  </w:style>
  <w:style w:type="table" w:styleId="28">
    <w:name w:val="Table Grid"/>
    <w:basedOn w:val="2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Emphasis"/>
    <w:qFormat/>
    <w:uiPriority w:val="20"/>
    <w:rPr>
      <w:i/>
      <w:iCs/>
    </w:rPr>
  </w:style>
  <w:style w:type="character" w:customStyle="1" w:styleId="32">
    <w:name w:val="标题 1 字符"/>
    <w:basedOn w:val="29"/>
    <w:link w:val="2"/>
    <w:qFormat/>
    <w:uiPriority w:val="9"/>
    <w:rPr>
      <w:b/>
      <w:bCs/>
      <w:kern w:val="44"/>
      <w:sz w:val="44"/>
      <w:szCs w:val="44"/>
    </w:rPr>
  </w:style>
  <w:style w:type="character" w:customStyle="1" w:styleId="33">
    <w:name w:val="标题 2 字符"/>
    <w:basedOn w:val="29"/>
    <w:link w:val="3"/>
    <w:semiHidden/>
    <w:qFormat/>
    <w:uiPriority w:val="9"/>
    <w:rPr>
      <w:rFonts w:asciiTheme="majorHAnsi" w:hAnsiTheme="majorHAnsi" w:eastAsiaTheme="majorEastAsia" w:cstheme="majorBidi"/>
      <w:b/>
      <w:bCs/>
      <w:sz w:val="32"/>
      <w:szCs w:val="32"/>
    </w:rPr>
  </w:style>
  <w:style w:type="character" w:customStyle="1" w:styleId="34">
    <w:name w:val="标题 3 字符"/>
    <w:basedOn w:val="29"/>
    <w:link w:val="4"/>
    <w:semiHidden/>
    <w:qFormat/>
    <w:uiPriority w:val="9"/>
    <w:rPr>
      <w:b/>
      <w:bCs/>
      <w:sz w:val="32"/>
      <w:szCs w:val="32"/>
    </w:rPr>
  </w:style>
  <w:style w:type="character" w:customStyle="1" w:styleId="35">
    <w:name w:val="标题 4 字符"/>
    <w:basedOn w:val="29"/>
    <w:link w:val="5"/>
    <w:qFormat/>
    <w:uiPriority w:val="9"/>
    <w:rPr>
      <w:rFonts w:asciiTheme="majorHAnsi" w:hAnsiTheme="majorHAnsi" w:eastAsiaTheme="majorEastAsia" w:cstheme="majorBidi"/>
      <w:b/>
      <w:bCs/>
      <w:sz w:val="28"/>
      <w:szCs w:val="28"/>
    </w:rPr>
  </w:style>
  <w:style w:type="character" w:customStyle="1" w:styleId="36">
    <w:name w:val="标题 5 字符"/>
    <w:basedOn w:val="29"/>
    <w:link w:val="6"/>
    <w:semiHidden/>
    <w:qFormat/>
    <w:uiPriority w:val="9"/>
    <w:rPr>
      <w:b/>
      <w:bCs/>
      <w:sz w:val="28"/>
      <w:szCs w:val="28"/>
    </w:rPr>
  </w:style>
  <w:style w:type="character" w:customStyle="1" w:styleId="37">
    <w:name w:val="标题 6 字符"/>
    <w:basedOn w:val="29"/>
    <w:link w:val="7"/>
    <w:semiHidden/>
    <w:qFormat/>
    <w:uiPriority w:val="9"/>
    <w:rPr>
      <w:rFonts w:asciiTheme="majorHAnsi" w:hAnsiTheme="majorHAnsi" w:eastAsiaTheme="majorEastAsia" w:cstheme="majorBidi"/>
      <w:b/>
      <w:bCs/>
      <w:sz w:val="24"/>
      <w:szCs w:val="24"/>
    </w:rPr>
  </w:style>
  <w:style w:type="character" w:customStyle="1" w:styleId="38">
    <w:name w:val="标题 7 字符"/>
    <w:basedOn w:val="29"/>
    <w:link w:val="8"/>
    <w:semiHidden/>
    <w:qFormat/>
    <w:uiPriority w:val="9"/>
    <w:rPr>
      <w:b/>
      <w:bCs/>
      <w:sz w:val="24"/>
      <w:szCs w:val="24"/>
    </w:rPr>
  </w:style>
  <w:style w:type="character" w:customStyle="1" w:styleId="39">
    <w:name w:val="标题 8 字符"/>
    <w:basedOn w:val="29"/>
    <w:link w:val="9"/>
    <w:semiHidden/>
    <w:qFormat/>
    <w:uiPriority w:val="9"/>
    <w:rPr>
      <w:rFonts w:asciiTheme="majorHAnsi" w:hAnsiTheme="majorHAnsi" w:eastAsiaTheme="majorEastAsia" w:cstheme="majorBidi"/>
      <w:sz w:val="24"/>
      <w:szCs w:val="24"/>
    </w:rPr>
  </w:style>
  <w:style w:type="character" w:customStyle="1" w:styleId="40">
    <w:name w:val="标题 9 字符"/>
    <w:basedOn w:val="29"/>
    <w:link w:val="10"/>
    <w:semiHidden/>
    <w:qFormat/>
    <w:uiPriority w:val="9"/>
    <w:rPr>
      <w:rFonts w:asciiTheme="majorHAnsi" w:hAnsiTheme="majorHAnsi" w:eastAsiaTheme="majorEastAsia" w:cstheme="majorBidi"/>
      <w:szCs w:val="21"/>
    </w:rPr>
  </w:style>
  <w:style w:type="character" w:customStyle="1" w:styleId="41">
    <w:name w:val="标题 字符"/>
    <w:basedOn w:val="29"/>
    <w:link w:val="26"/>
    <w:qFormat/>
    <w:uiPriority w:val="10"/>
    <w:rPr>
      <w:rFonts w:eastAsia="宋体" w:asciiTheme="majorHAnsi" w:hAnsiTheme="majorHAnsi" w:cstheme="majorBidi"/>
      <w:b/>
      <w:bCs/>
      <w:sz w:val="32"/>
      <w:szCs w:val="32"/>
    </w:rPr>
  </w:style>
  <w:style w:type="character" w:customStyle="1" w:styleId="42">
    <w:name w:val="副标题 字符"/>
    <w:basedOn w:val="29"/>
    <w:link w:val="21"/>
    <w:qFormat/>
    <w:uiPriority w:val="11"/>
    <w:rPr>
      <w:rFonts w:eastAsia="宋体" w:asciiTheme="majorHAnsi" w:hAnsiTheme="majorHAnsi" w:cstheme="majorBidi"/>
      <w:b/>
      <w:bCs/>
      <w:kern w:val="28"/>
      <w:sz w:val="32"/>
      <w:szCs w:val="32"/>
    </w:rPr>
  </w:style>
  <w:style w:type="paragraph" w:styleId="43">
    <w:name w:val="No Spacing"/>
    <w:qFormat/>
    <w:uiPriority w:val="1"/>
    <w:pPr>
      <w:widowControl w:val="0"/>
      <w:jc w:val="both"/>
    </w:pPr>
    <w:rPr>
      <w:rFonts w:ascii="Times New Roman" w:hAnsi="Times New Roman" w:eastAsia="宋体" w:cs="Times New Roman"/>
      <w:kern w:val="2"/>
      <w:lang w:val="en-US" w:eastAsia="zh-CN" w:bidi="ar-SA"/>
    </w:rPr>
  </w:style>
  <w:style w:type="paragraph" w:styleId="44">
    <w:name w:val="List Paragraph"/>
    <w:qFormat/>
    <w:uiPriority w:val="34"/>
    <w:pPr>
      <w:widowControl w:val="0"/>
      <w:ind w:firstLine="420" w:firstLineChars="200"/>
      <w:jc w:val="both"/>
    </w:pPr>
    <w:rPr>
      <w:rFonts w:ascii="Times New Roman" w:hAnsi="Times New Roman" w:eastAsia="宋体" w:cs="Times New Roman"/>
      <w:kern w:val="2"/>
      <w:lang w:val="en-US" w:eastAsia="zh-CN" w:bidi="ar-SA"/>
    </w:rPr>
  </w:style>
  <w:style w:type="paragraph" w:styleId="45">
    <w:name w:val="Quote"/>
    <w:link w:val="46"/>
    <w:qFormat/>
    <w:uiPriority w:val="29"/>
    <w:pPr>
      <w:widowControl w:val="0"/>
      <w:jc w:val="both"/>
    </w:pPr>
    <w:rPr>
      <w:rFonts w:ascii="Times New Roman" w:hAnsi="Times New Roman" w:eastAsia="宋体" w:cs="Times New Roman"/>
      <w:i/>
      <w:iCs/>
      <w:color w:val="000000" w:themeColor="text1"/>
      <w:kern w:val="2"/>
      <w:lang w:val="en-US" w:eastAsia="zh-CN" w:bidi="ar-SA"/>
      <w14:textFill>
        <w14:solidFill>
          <w14:schemeClr w14:val="tx1"/>
        </w14:solidFill>
      </w14:textFill>
    </w:rPr>
  </w:style>
  <w:style w:type="character" w:customStyle="1" w:styleId="46">
    <w:name w:val="引用 字符"/>
    <w:basedOn w:val="29"/>
    <w:link w:val="45"/>
    <w:qFormat/>
    <w:uiPriority w:val="29"/>
    <w:rPr>
      <w:i/>
      <w:iCs/>
      <w:color w:val="000000" w:themeColor="text1"/>
      <w14:textFill>
        <w14:solidFill>
          <w14:schemeClr w14:val="tx1"/>
        </w14:solidFill>
      </w14:textFill>
    </w:rPr>
  </w:style>
  <w:style w:type="paragraph" w:styleId="47">
    <w:name w:val="Intense Quote"/>
    <w:link w:val="48"/>
    <w:qFormat/>
    <w:uiPriority w:val="30"/>
    <w:pPr>
      <w:widowControl w:val="0"/>
      <w:pBdr>
        <w:bottom w:val="single" w:color="4F81BD" w:themeColor="accent1" w:sz="4" w:space="4"/>
      </w:pBdr>
      <w:spacing w:before="200" w:after="280"/>
      <w:ind w:left="936" w:right="936"/>
      <w:jc w:val="both"/>
    </w:pPr>
    <w:rPr>
      <w:rFonts w:ascii="Times New Roman" w:hAnsi="Times New Roman" w:eastAsia="宋体" w:cs="Times New Roman"/>
      <w:b/>
      <w:bCs/>
      <w:i/>
      <w:iCs/>
      <w:color w:val="4F81BD" w:themeColor="accent1"/>
      <w:kern w:val="2"/>
      <w:lang w:val="en-US" w:eastAsia="zh-CN" w:bidi="ar-SA"/>
      <w14:textFill>
        <w14:solidFill>
          <w14:schemeClr w14:val="accent1"/>
        </w14:solidFill>
      </w14:textFill>
    </w:rPr>
  </w:style>
  <w:style w:type="character" w:customStyle="1" w:styleId="48">
    <w:name w:val="明显引用 字符"/>
    <w:basedOn w:val="29"/>
    <w:link w:val="47"/>
    <w:qFormat/>
    <w:uiPriority w:val="30"/>
    <w:rPr>
      <w:b/>
      <w:bCs/>
      <w:i/>
      <w:iCs/>
      <w:color w:val="4F81BD" w:themeColor="accent1"/>
      <w14:textFill>
        <w14:solidFill>
          <w14:schemeClr w14:val="accent1"/>
        </w14:solidFill>
      </w14:textFill>
    </w:rPr>
  </w:style>
  <w:style w:type="character" w:customStyle="1" w:styleId="49">
    <w:name w:val="不明显强调1"/>
    <w:qFormat/>
    <w:uiPriority w:val="19"/>
    <w:rPr>
      <w:i/>
      <w:iCs/>
      <w:color w:val="808080" w:themeColor="text1" w:themeTint="80"/>
      <w14:textFill>
        <w14:solidFill>
          <w14:schemeClr w14:val="tx1">
            <w14:lumMod w14:val="50000"/>
            <w14:lumOff w14:val="50000"/>
          </w14:schemeClr>
        </w14:solidFill>
      </w14:textFill>
    </w:rPr>
  </w:style>
  <w:style w:type="character" w:customStyle="1" w:styleId="50">
    <w:name w:val="明显强调1"/>
    <w:qFormat/>
    <w:uiPriority w:val="21"/>
    <w:rPr>
      <w:b/>
      <w:bCs/>
      <w:i/>
      <w:iCs/>
      <w:color w:val="4F81BD" w:themeColor="accent1"/>
      <w14:textFill>
        <w14:solidFill>
          <w14:schemeClr w14:val="accent1"/>
        </w14:solidFill>
      </w14:textFill>
    </w:rPr>
  </w:style>
  <w:style w:type="character" w:customStyle="1" w:styleId="51">
    <w:name w:val="不明显参考1"/>
    <w:qFormat/>
    <w:uiPriority w:val="31"/>
    <w:rPr>
      <w:smallCaps/>
      <w:color w:val="C0504D" w:themeColor="accent2"/>
      <w:u w:val="single"/>
      <w14:textFill>
        <w14:solidFill>
          <w14:schemeClr w14:val="accent2"/>
        </w14:solidFill>
      </w14:textFill>
    </w:rPr>
  </w:style>
  <w:style w:type="character" w:customStyle="1" w:styleId="52">
    <w:name w:val="明显参考1"/>
    <w:qFormat/>
    <w:uiPriority w:val="32"/>
    <w:rPr>
      <w:b/>
      <w:bCs/>
      <w:smallCaps/>
      <w:color w:val="C0504D" w:themeColor="accent2"/>
      <w:spacing w:val="5"/>
      <w:u w:val="single"/>
      <w14:textFill>
        <w14:solidFill>
          <w14:schemeClr w14:val="accent2"/>
        </w14:solidFill>
      </w14:textFill>
    </w:rPr>
  </w:style>
  <w:style w:type="character" w:customStyle="1" w:styleId="53">
    <w:name w:val="书籍标题1"/>
    <w:qFormat/>
    <w:uiPriority w:val="33"/>
    <w:rPr>
      <w:b/>
      <w:bCs/>
      <w:smallCaps/>
      <w:spacing w:val="5"/>
    </w:rPr>
  </w:style>
  <w:style w:type="paragraph" w:customStyle="1" w:styleId="54">
    <w:name w:val="TOC 标题1"/>
    <w:basedOn w:val="2"/>
    <w:next w:val="1"/>
    <w:semiHidden/>
    <w:unhideWhenUsed/>
    <w:qFormat/>
    <w:uiPriority w:val="39"/>
    <w:pPr>
      <w:outlineLvl w:val="9"/>
    </w:pPr>
  </w:style>
  <w:style w:type="character" w:customStyle="1" w:styleId="55">
    <w:name w:val="页眉 字符"/>
    <w:basedOn w:val="29"/>
    <w:link w:val="18"/>
    <w:qFormat/>
    <w:uiPriority w:val="99"/>
    <w:rPr>
      <w:sz w:val="18"/>
      <w:szCs w:val="18"/>
    </w:rPr>
  </w:style>
  <w:style w:type="character" w:customStyle="1" w:styleId="56">
    <w:name w:val="页脚 字符"/>
    <w:basedOn w:val="29"/>
    <w:link w:val="17"/>
    <w:qFormat/>
    <w:uiPriority w:val="99"/>
    <w:rPr>
      <w:sz w:val="18"/>
      <w:szCs w:val="18"/>
    </w:rPr>
  </w:style>
  <w:style w:type="paragraph" w:customStyle="1" w:styleId="57">
    <w:name w:val="表格文本"/>
    <w:basedOn w:val="1"/>
    <w:next w:val="13"/>
    <w:qFormat/>
    <w:uiPriority w:val="0"/>
    <w:pPr>
      <w:jc w:val="center"/>
    </w:pPr>
    <w:rPr>
      <w:rFonts w:ascii="宋体" w:hAnsi="宋体" w:cs="宋体"/>
      <w:sz w:val="18"/>
      <w:szCs w:val="21"/>
    </w:rPr>
  </w:style>
  <w:style w:type="character" w:customStyle="1" w:styleId="58">
    <w:name w:val="font31"/>
    <w:basedOn w:val="29"/>
    <w:qFormat/>
    <w:uiPriority w:val="0"/>
    <w:rPr>
      <w:rFonts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769</Words>
  <Characters>4386</Characters>
  <Lines>36</Lines>
  <Paragraphs>10</Paragraphs>
  <TotalTime>0</TotalTime>
  <ScaleCrop>false</ScaleCrop>
  <LinksUpToDate>false</LinksUpToDate>
  <CharactersWithSpaces>5145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2023-10-13T01:55:00Z</dcterms:created>
  <dc:creator>未定义</dc:creator>
  <cp:lastModifiedBy>糯米团子</cp:lastModifiedBy>
  <cp:lastPrinted>2023-10-23T09:33:00Z</cp:lastPrinted>
  <dcterms:modified xsi:type="dcterms:W3CDTF">2023-11-09T03:01:05Z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775A2AFFB1334D07889E206094900E52_13</vt:lpwstr>
  </property>
</Properties>
</file>