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GoBack"/>
      <w:bookmarkEnd w:id="0"/>
      <w:r>
        <w:rPr>
          <w:rFonts w:hint="eastAsia"/>
          <w:b/>
          <w:sz w:val="44"/>
          <w:szCs w:val="44"/>
        </w:rPr>
        <w:t>广东省广州生态环境监测中心站</w:t>
      </w:r>
    </w:p>
    <w:p>
      <w:pPr>
        <w:jc w:val="center"/>
        <w:rPr>
          <w:b/>
          <w:sz w:val="44"/>
          <w:szCs w:val="44"/>
        </w:rPr>
      </w:pPr>
      <w:r>
        <w:rPr>
          <w:rFonts w:hint="eastAsia"/>
          <w:b/>
          <w:sz w:val="44"/>
          <w:szCs w:val="44"/>
        </w:rPr>
        <w:t>免维护铅酸蓄电池采购需求书</w:t>
      </w:r>
    </w:p>
    <w:p>
      <w:pPr>
        <w:rPr>
          <w:sz w:val="28"/>
          <w:szCs w:val="28"/>
        </w:rPr>
      </w:pPr>
    </w:p>
    <w:p>
      <w:pPr>
        <w:pStyle w:val="2"/>
      </w:pPr>
      <w:r>
        <w:rPr>
          <w:rFonts w:hint="eastAsia"/>
        </w:rPr>
        <w:t>一、项目基本情况</w:t>
      </w:r>
    </w:p>
    <w:p>
      <w:pPr>
        <w:pStyle w:val="3"/>
        <w:ind w:firstLine="562"/>
      </w:pPr>
      <w:r>
        <w:rPr>
          <w:rFonts w:hint="eastAsia"/>
        </w:rPr>
        <w:t>（一）项目概况</w:t>
      </w:r>
    </w:p>
    <w:p>
      <w:pPr>
        <w:ind w:firstLine="560" w:firstLineChars="200"/>
        <w:rPr>
          <w:sz w:val="28"/>
          <w:szCs w:val="28"/>
        </w:rPr>
      </w:pPr>
      <w:r>
        <w:rPr>
          <w:rFonts w:hint="eastAsia"/>
          <w:sz w:val="28"/>
          <w:szCs w:val="28"/>
        </w:rPr>
        <w:t>本项目总预算为32万元，项目内容为购买一批</w:t>
      </w:r>
      <w:r>
        <w:rPr>
          <w:sz w:val="28"/>
          <w:szCs w:val="28"/>
        </w:rPr>
        <w:t>免维护铅酸蓄电池</w:t>
      </w:r>
      <w:r>
        <w:rPr>
          <w:rFonts w:hint="eastAsia"/>
          <w:sz w:val="28"/>
          <w:szCs w:val="28"/>
        </w:rPr>
        <w:t>，并对旧的</w:t>
      </w:r>
      <w:r>
        <w:rPr>
          <w:sz w:val="28"/>
          <w:szCs w:val="28"/>
        </w:rPr>
        <w:t>铅酸蓄电池</w:t>
      </w:r>
      <w:r>
        <w:rPr>
          <w:rFonts w:hint="eastAsia"/>
          <w:sz w:val="28"/>
          <w:szCs w:val="28"/>
        </w:rPr>
        <w:t>进行更换。</w:t>
      </w:r>
    </w:p>
    <w:p>
      <w:pPr>
        <w:pStyle w:val="3"/>
        <w:ind w:firstLine="562"/>
      </w:pPr>
      <w:r>
        <w:rPr>
          <w:rFonts w:hint="eastAsia"/>
        </w:rPr>
        <w:t>（二）项目内容</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1924"/>
        <w:gridCol w:w="1403"/>
        <w:gridCol w:w="1500"/>
        <w:gridCol w:w="1500"/>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8" w:type="pct"/>
            <w:vAlign w:val="center"/>
          </w:tcPr>
          <w:p>
            <w:pPr>
              <w:jc w:val="center"/>
              <w:rPr>
                <w:b/>
                <w:sz w:val="24"/>
                <w:szCs w:val="28"/>
              </w:rPr>
            </w:pPr>
            <w:r>
              <w:rPr>
                <w:rFonts w:hint="eastAsia"/>
                <w:b/>
                <w:sz w:val="24"/>
                <w:szCs w:val="28"/>
              </w:rPr>
              <w:t>序号</w:t>
            </w:r>
          </w:p>
        </w:tc>
        <w:tc>
          <w:tcPr>
            <w:tcW w:w="1129" w:type="pct"/>
            <w:vAlign w:val="center"/>
          </w:tcPr>
          <w:p>
            <w:pPr>
              <w:jc w:val="center"/>
              <w:rPr>
                <w:b/>
                <w:sz w:val="24"/>
                <w:szCs w:val="28"/>
              </w:rPr>
            </w:pPr>
            <w:r>
              <w:rPr>
                <w:rFonts w:hint="eastAsia"/>
                <w:b/>
                <w:sz w:val="24"/>
                <w:szCs w:val="28"/>
              </w:rPr>
              <w:t>采购标的</w:t>
            </w:r>
          </w:p>
        </w:tc>
        <w:tc>
          <w:tcPr>
            <w:tcW w:w="823" w:type="pct"/>
            <w:vAlign w:val="center"/>
          </w:tcPr>
          <w:p>
            <w:pPr>
              <w:jc w:val="center"/>
              <w:rPr>
                <w:b/>
                <w:sz w:val="24"/>
                <w:szCs w:val="28"/>
              </w:rPr>
            </w:pPr>
            <w:r>
              <w:rPr>
                <w:rFonts w:hint="eastAsia"/>
                <w:b/>
                <w:sz w:val="24"/>
                <w:szCs w:val="28"/>
              </w:rPr>
              <w:t>数量（节）</w:t>
            </w:r>
          </w:p>
        </w:tc>
        <w:tc>
          <w:tcPr>
            <w:tcW w:w="880" w:type="pct"/>
            <w:vAlign w:val="center"/>
          </w:tcPr>
          <w:p>
            <w:pPr>
              <w:jc w:val="center"/>
              <w:rPr>
                <w:b/>
                <w:sz w:val="24"/>
                <w:szCs w:val="28"/>
              </w:rPr>
            </w:pPr>
            <w:r>
              <w:rPr>
                <w:rFonts w:hint="eastAsia"/>
                <w:b/>
                <w:sz w:val="24"/>
                <w:szCs w:val="28"/>
              </w:rPr>
              <w:t>单价限价（万元）</w:t>
            </w:r>
          </w:p>
        </w:tc>
        <w:tc>
          <w:tcPr>
            <w:tcW w:w="880" w:type="pct"/>
            <w:vAlign w:val="center"/>
          </w:tcPr>
          <w:p>
            <w:pPr>
              <w:jc w:val="center"/>
              <w:rPr>
                <w:b/>
                <w:sz w:val="24"/>
                <w:szCs w:val="28"/>
              </w:rPr>
            </w:pPr>
            <w:r>
              <w:rPr>
                <w:rFonts w:hint="eastAsia"/>
                <w:b/>
                <w:sz w:val="24"/>
                <w:szCs w:val="28"/>
              </w:rPr>
              <w:t>总价限价（万元）</w:t>
            </w:r>
          </w:p>
        </w:tc>
        <w:tc>
          <w:tcPr>
            <w:tcW w:w="770" w:type="pct"/>
            <w:vAlign w:val="center"/>
          </w:tcPr>
          <w:p>
            <w:pPr>
              <w:jc w:val="center"/>
              <w:rPr>
                <w:b/>
                <w:sz w:val="24"/>
                <w:szCs w:val="28"/>
              </w:rPr>
            </w:pPr>
            <w:r>
              <w:rPr>
                <w:rFonts w:hint="eastAsia"/>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8" w:type="pct"/>
            <w:vAlign w:val="center"/>
          </w:tcPr>
          <w:p>
            <w:pPr>
              <w:jc w:val="center"/>
              <w:rPr>
                <w:sz w:val="24"/>
                <w:szCs w:val="28"/>
              </w:rPr>
            </w:pPr>
            <w:r>
              <w:rPr>
                <w:rFonts w:hint="eastAsia"/>
                <w:sz w:val="24"/>
                <w:szCs w:val="28"/>
              </w:rPr>
              <w:t>1</w:t>
            </w:r>
          </w:p>
        </w:tc>
        <w:tc>
          <w:tcPr>
            <w:tcW w:w="1129" w:type="pct"/>
            <w:vAlign w:val="center"/>
          </w:tcPr>
          <w:p>
            <w:pPr>
              <w:jc w:val="center"/>
              <w:rPr>
                <w:sz w:val="24"/>
                <w:szCs w:val="28"/>
              </w:rPr>
            </w:pPr>
            <w:r>
              <w:rPr>
                <w:rFonts w:hint="eastAsia"/>
                <w:sz w:val="24"/>
                <w:szCs w:val="28"/>
              </w:rPr>
              <w:t>免维护铅酸蓄电池</w:t>
            </w:r>
          </w:p>
        </w:tc>
        <w:tc>
          <w:tcPr>
            <w:tcW w:w="823" w:type="pct"/>
            <w:vAlign w:val="center"/>
          </w:tcPr>
          <w:p>
            <w:pPr>
              <w:jc w:val="center"/>
              <w:rPr>
                <w:sz w:val="24"/>
                <w:szCs w:val="28"/>
              </w:rPr>
            </w:pPr>
            <w:r>
              <w:rPr>
                <w:rFonts w:hint="eastAsia"/>
                <w:sz w:val="24"/>
                <w:szCs w:val="28"/>
              </w:rPr>
              <w:t>128</w:t>
            </w:r>
          </w:p>
        </w:tc>
        <w:tc>
          <w:tcPr>
            <w:tcW w:w="880" w:type="pct"/>
            <w:vAlign w:val="center"/>
          </w:tcPr>
          <w:p>
            <w:pPr>
              <w:jc w:val="center"/>
              <w:rPr>
                <w:sz w:val="24"/>
                <w:szCs w:val="28"/>
              </w:rPr>
            </w:pPr>
            <w:r>
              <w:rPr>
                <w:rFonts w:hint="eastAsia"/>
                <w:sz w:val="24"/>
                <w:szCs w:val="28"/>
              </w:rPr>
              <w:t>0.25</w:t>
            </w:r>
          </w:p>
        </w:tc>
        <w:tc>
          <w:tcPr>
            <w:tcW w:w="880" w:type="pct"/>
            <w:vAlign w:val="center"/>
          </w:tcPr>
          <w:p>
            <w:pPr>
              <w:jc w:val="center"/>
              <w:rPr>
                <w:sz w:val="24"/>
                <w:szCs w:val="28"/>
              </w:rPr>
            </w:pPr>
            <w:r>
              <w:rPr>
                <w:rFonts w:hint="eastAsia"/>
                <w:sz w:val="24"/>
                <w:szCs w:val="28"/>
              </w:rPr>
              <w:t>32</w:t>
            </w:r>
          </w:p>
        </w:tc>
        <w:tc>
          <w:tcPr>
            <w:tcW w:w="770" w:type="pct"/>
            <w:vAlign w:val="center"/>
          </w:tcPr>
          <w:p>
            <w:pPr>
              <w:jc w:val="center"/>
              <w:rPr>
                <w:sz w:val="24"/>
                <w:szCs w:val="28"/>
              </w:rPr>
            </w:pPr>
          </w:p>
        </w:tc>
      </w:tr>
    </w:tbl>
    <w:p>
      <w:pPr>
        <w:pStyle w:val="2"/>
        <w:ind w:firstLine="562" w:firstLineChars="200"/>
        <w:rPr>
          <w:rFonts w:asciiTheme="minorHAnsi" w:hAnsiTheme="minorHAnsi" w:eastAsiaTheme="minorEastAsia" w:cstheme="minorBidi"/>
          <w:sz w:val="28"/>
        </w:rPr>
      </w:pPr>
      <w:r>
        <w:rPr>
          <w:rFonts w:hint="eastAsia" w:asciiTheme="minorHAnsi" w:hAnsiTheme="minorHAnsi" w:eastAsiaTheme="minorEastAsia" w:cstheme="minorBidi"/>
          <w:sz w:val="28"/>
        </w:rPr>
        <w:t>（三）供应商资质</w:t>
      </w:r>
    </w:p>
    <w:p>
      <w:pPr>
        <w:ind w:firstLine="560" w:firstLineChars="200"/>
        <w:rPr>
          <w:sz w:val="28"/>
          <w:szCs w:val="28"/>
        </w:rPr>
      </w:pPr>
      <w:r>
        <w:rPr>
          <w:rFonts w:hint="eastAsia"/>
          <w:sz w:val="28"/>
          <w:szCs w:val="28"/>
        </w:rPr>
        <w:t>供应商需具有有效的企业营业资质、质量管理体系认证书、环境管理体系认证书；</w:t>
      </w:r>
    </w:p>
    <w:p>
      <w:pPr>
        <w:ind w:firstLine="560" w:firstLineChars="200"/>
        <w:rPr>
          <w:sz w:val="28"/>
          <w:szCs w:val="28"/>
        </w:rPr>
      </w:pPr>
      <w:r>
        <w:rPr>
          <w:rFonts w:hint="eastAsia"/>
          <w:sz w:val="28"/>
          <w:szCs w:val="28"/>
        </w:rPr>
        <w:t>供应商需提供近三年（2020年以来）不少于6个机房UPS免维护铅酸蓄电池安装建设或同等项目的业绩；</w:t>
      </w:r>
    </w:p>
    <w:p>
      <w:pPr>
        <w:ind w:firstLine="560" w:firstLineChars="200"/>
        <w:rPr>
          <w:sz w:val="28"/>
          <w:szCs w:val="28"/>
        </w:rPr>
      </w:pPr>
      <w:r>
        <w:rPr>
          <w:rFonts w:hint="eastAsia"/>
          <w:sz w:val="28"/>
          <w:szCs w:val="28"/>
        </w:rPr>
        <w:t>在本项目免维护铅酸蓄电池安装过程中，供应商提供的人员须持有特种作业电工上岗证或相关从业资格证。</w:t>
      </w:r>
    </w:p>
    <w:p>
      <w:pPr>
        <w:pStyle w:val="2"/>
      </w:pPr>
      <w:r>
        <w:rPr>
          <w:rFonts w:hint="eastAsia"/>
        </w:rPr>
        <w:t>二、技术要求</w:t>
      </w:r>
    </w:p>
    <w:p>
      <w:pPr>
        <w:pStyle w:val="3"/>
        <w:ind w:firstLine="562"/>
      </w:pPr>
      <w:r>
        <w:rPr>
          <w:rFonts w:hint="eastAsia"/>
        </w:rPr>
        <w:t>（一）产品详细配置</w:t>
      </w:r>
    </w:p>
    <w:tbl>
      <w:tblPr>
        <w:tblStyle w:val="8"/>
        <w:tblW w:w="8572" w:type="dxa"/>
        <w:tblInd w:w="-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4"/>
        <w:gridCol w:w="1533"/>
        <w:gridCol w:w="2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4" w:type="dxa"/>
            <w:vAlign w:val="center"/>
          </w:tcPr>
          <w:p>
            <w:pPr>
              <w:pStyle w:val="11"/>
              <w:ind w:firstLine="0" w:firstLineChars="0"/>
              <w:jc w:val="center"/>
              <w:rPr>
                <w:b/>
                <w:szCs w:val="28"/>
              </w:rPr>
            </w:pPr>
            <w:r>
              <w:rPr>
                <w:rFonts w:hint="eastAsia"/>
                <w:b/>
                <w:szCs w:val="28"/>
              </w:rPr>
              <w:t>配置</w:t>
            </w:r>
          </w:p>
        </w:tc>
        <w:tc>
          <w:tcPr>
            <w:tcW w:w="1533" w:type="dxa"/>
            <w:vAlign w:val="center"/>
          </w:tcPr>
          <w:p>
            <w:pPr>
              <w:pStyle w:val="11"/>
              <w:ind w:firstLine="0" w:firstLineChars="0"/>
              <w:jc w:val="center"/>
              <w:rPr>
                <w:b/>
                <w:szCs w:val="28"/>
              </w:rPr>
            </w:pPr>
            <w:r>
              <w:rPr>
                <w:rFonts w:hint="eastAsia"/>
                <w:b/>
                <w:szCs w:val="28"/>
              </w:rPr>
              <w:t>数量</w:t>
            </w:r>
            <w:r>
              <w:rPr>
                <w:b/>
                <w:szCs w:val="28"/>
              </w:rPr>
              <w:t>/</w:t>
            </w:r>
            <w:r>
              <w:rPr>
                <w:rFonts w:hint="eastAsia"/>
                <w:b/>
                <w:szCs w:val="28"/>
              </w:rPr>
              <w:t>节</w:t>
            </w:r>
          </w:p>
        </w:tc>
        <w:tc>
          <w:tcPr>
            <w:tcW w:w="2805" w:type="dxa"/>
            <w:vAlign w:val="center"/>
          </w:tcPr>
          <w:p>
            <w:pPr>
              <w:pStyle w:val="11"/>
              <w:ind w:firstLine="0" w:firstLineChars="0"/>
              <w:jc w:val="center"/>
              <w:rPr>
                <w:b/>
                <w:szCs w:val="28"/>
              </w:rPr>
            </w:pPr>
            <w:r>
              <w:rPr>
                <w:rFonts w:hint="eastAsia"/>
                <w:b/>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4" w:type="dxa"/>
            <w:vAlign w:val="center"/>
          </w:tcPr>
          <w:p>
            <w:pPr>
              <w:jc w:val="center"/>
              <w:rPr>
                <w:sz w:val="24"/>
                <w:szCs w:val="28"/>
              </w:rPr>
            </w:pPr>
            <w:r>
              <w:rPr>
                <w:rFonts w:hint="eastAsia"/>
                <w:sz w:val="24"/>
                <w:szCs w:val="28"/>
              </w:rPr>
              <w:t>免维护铅酸蓄电池</w:t>
            </w:r>
          </w:p>
        </w:tc>
        <w:tc>
          <w:tcPr>
            <w:tcW w:w="1533" w:type="dxa"/>
            <w:vAlign w:val="center"/>
          </w:tcPr>
          <w:p>
            <w:pPr>
              <w:spacing w:line="300" w:lineRule="auto"/>
              <w:ind w:firstLine="480"/>
              <w:jc w:val="left"/>
              <w:rPr>
                <w:sz w:val="24"/>
                <w:szCs w:val="28"/>
              </w:rPr>
            </w:pPr>
            <w:r>
              <w:rPr>
                <w:rFonts w:hint="eastAsia"/>
                <w:sz w:val="24"/>
                <w:szCs w:val="28"/>
              </w:rPr>
              <w:t>128</w:t>
            </w:r>
          </w:p>
        </w:tc>
        <w:tc>
          <w:tcPr>
            <w:tcW w:w="2805" w:type="dxa"/>
            <w:vAlign w:val="center"/>
          </w:tcPr>
          <w:p>
            <w:pPr>
              <w:pStyle w:val="11"/>
              <w:spacing w:line="240" w:lineRule="auto"/>
              <w:ind w:firstLine="0" w:firstLineChars="0"/>
              <w:jc w:val="center"/>
              <w:rPr>
                <w:szCs w:val="28"/>
              </w:rPr>
            </w:pPr>
            <w:r>
              <w:rPr>
                <w:rFonts w:hint="eastAsia"/>
                <w:szCs w:val="28"/>
              </w:rPr>
              <w:t>需包含电池连接线缆、及相关安装配件。</w:t>
            </w:r>
          </w:p>
        </w:tc>
      </w:tr>
    </w:tbl>
    <w:p>
      <w:pPr>
        <w:pStyle w:val="3"/>
        <w:ind w:firstLine="562"/>
      </w:pPr>
      <w:r>
        <w:rPr>
          <w:rFonts w:hint="eastAsia"/>
        </w:rPr>
        <w:t>（二）技术参数要求</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单节电池额定电压</w:t>
            </w:r>
          </w:p>
        </w:tc>
        <w:tc>
          <w:tcPr>
            <w:tcW w:w="5632" w:type="dxa"/>
            <w:vAlign w:val="center"/>
          </w:tcPr>
          <w:p>
            <w:pPr>
              <w:jc w:val="center"/>
              <w:rPr>
                <w:sz w:val="24"/>
                <w:szCs w:val="28"/>
              </w:rPr>
            </w:pPr>
            <w:r>
              <w:rPr>
                <w:rFonts w:hint="eastAsia"/>
                <w:sz w:val="24"/>
                <w:szCs w:val="28"/>
              </w:rPr>
              <w:t>额定电压为12V。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单节电池额定容量</w:t>
            </w:r>
          </w:p>
        </w:tc>
        <w:tc>
          <w:tcPr>
            <w:tcW w:w="5632" w:type="dxa"/>
            <w:vAlign w:val="center"/>
          </w:tcPr>
          <w:p>
            <w:pPr>
              <w:jc w:val="center"/>
              <w:rPr>
                <w:sz w:val="24"/>
                <w:szCs w:val="28"/>
              </w:rPr>
            </w:pPr>
            <w:r>
              <w:rPr>
                <w:rFonts w:hint="eastAsia"/>
                <w:sz w:val="24"/>
                <w:szCs w:val="28"/>
              </w:rPr>
              <w:t>额定容量200Ah及以上。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单节电池尺寸要求</w:t>
            </w:r>
          </w:p>
        </w:tc>
        <w:tc>
          <w:tcPr>
            <w:tcW w:w="5632" w:type="dxa"/>
            <w:vAlign w:val="center"/>
          </w:tcPr>
          <w:p>
            <w:pPr>
              <w:jc w:val="center"/>
              <w:rPr>
                <w:sz w:val="24"/>
                <w:szCs w:val="28"/>
              </w:rPr>
            </w:pPr>
            <w:r>
              <w:rPr>
                <w:rFonts w:hint="eastAsia"/>
                <w:sz w:val="24"/>
                <w:szCs w:val="28"/>
              </w:rPr>
              <w:t>长宽高在530</w:t>
            </w:r>
            <w:r>
              <w:rPr>
                <w:sz w:val="24"/>
                <w:szCs w:val="28"/>
              </w:rPr>
              <w:t>(L)*</w:t>
            </w:r>
            <w:r>
              <w:rPr>
                <w:rFonts w:hint="eastAsia"/>
                <w:sz w:val="24"/>
                <w:szCs w:val="28"/>
              </w:rPr>
              <w:t>250</w:t>
            </w:r>
            <w:r>
              <w:rPr>
                <w:sz w:val="24"/>
                <w:szCs w:val="28"/>
              </w:rPr>
              <w:t>(</w:t>
            </w:r>
            <w:r>
              <w:rPr>
                <w:rFonts w:hint="eastAsia"/>
                <w:sz w:val="24"/>
                <w:szCs w:val="28"/>
              </w:rPr>
              <w:t>W</w:t>
            </w:r>
            <w:r>
              <w:rPr>
                <w:sz w:val="24"/>
                <w:szCs w:val="28"/>
              </w:rPr>
              <w:t>)*</w:t>
            </w:r>
            <w:r>
              <w:rPr>
                <w:rFonts w:hint="eastAsia"/>
                <w:sz w:val="24"/>
                <w:szCs w:val="28"/>
              </w:rPr>
              <w:t>230</w:t>
            </w:r>
            <w:r>
              <w:rPr>
                <w:sz w:val="24"/>
                <w:szCs w:val="28"/>
              </w:rPr>
              <w:t>(H)mm</w:t>
            </w:r>
            <w:r>
              <w:rPr>
                <w:rFonts w:hint="eastAsia"/>
                <w:sz w:val="24"/>
                <w:szCs w:val="28"/>
              </w:rPr>
              <w:t>范围或以下。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单节电池使用寿命</w:t>
            </w:r>
          </w:p>
        </w:tc>
        <w:tc>
          <w:tcPr>
            <w:tcW w:w="5632" w:type="dxa"/>
            <w:vAlign w:val="center"/>
          </w:tcPr>
          <w:p>
            <w:pPr>
              <w:jc w:val="center"/>
              <w:rPr>
                <w:sz w:val="24"/>
                <w:szCs w:val="28"/>
              </w:rPr>
            </w:pPr>
            <w:r>
              <w:rPr>
                <w:rFonts w:hint="eastAsia" w:ascii="宋体" w:hAnsi="宋体" w:eastAsia="宋体" w:cs="Times New Roman"/>
                <w:sz w:val="24"/>
                <w:szCs w:val="24"/>
              </w:rPr>
              <w:t>25℃</w:t>
            </w:r>
            <w:r>
              <w:rPr>
                <w:rFonts w:hint="eastAsia"/>
                <w:sz w:val="24"/>
                <w:szCs w:val="28"/>
              </w:rPr>
              <w:t>环境温度下，免维护铅酸蓄电池设计浮充寿命应大于等于10年。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电池组安装部署要求</w:t>
            </w:r>
          </w:p>
        </w:tc>
        <w:tc>
          <w:tcPr>
            <w:tcW w:w="5632" w:type="dxa"/>
            <w:vAlign w:val="center"/>
          </w:tcPr>
          <w:p>
            <w:pPr>
              <w:jc w:val="center"/>
              <w:rPr>
                <w:sz w:val="24"/>
                <w:szCs w:val="28"/>
              </w:rPr>
            </w:pPr>
            <w:r>
              <w:rPr>
                <w:rFonts w:hint="eastAsia"/>
                <w:sz w:val="24"/>
                <w:szCs w:val="28"/>
              </w:rPr>
              <w:t>免维护铅酸蓄电池应采用全正面维护，背面可与其他组电池背靠背摆放，可减少每组电池的空间使用。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40" w:type="dxa"/>
            <w:vAlign w:val="center"/>
          </w:tcPr>
          <w:p>
            <w:pPr>
              <w:jc w:val="center"/>
              <w:rPr>
                <w:b/>
                <w:sz w:val="24"/>
                <w:szCs w:val="28"/>
              </w:rPr>
            </w:pPr>
            <w:r>
              <w:rPr>
                <w:rFonts w:hint="eastAsia"/>
                <w:b/>
                <w:sz w:val="24"/>
                <w:szCs w:val="28"/>
              </w:rPr>
              <w:t>生产时限要求</w:t>
            </w:r>
          </w:p>
        </w:tc>
        <w:tc>
          <w:tcPr>
            <w:tcW w:w="5632" w:type="dxa"/>
            <w:vAlign w:val="center"/>
          </w:tcPr>
          <w:p>
            <w:pPr>
              <w:jc w:val="center"/>
              <w:rPr>
                <w:sz w:val="24"/>
                <w:szCs w:val="28"/>
              </w:rPr>
            </w:pPr>
            <w:r>
              <w:rPr>
                <w:rFonts w:hint="eastAsia" w:ascii="宋体" w:hAnsi="宋体" w:eastAsia="宋体" w:cs="Times New Roman"/>
                <w:sz w:val="24"/>
                <w:szCs w:val="24"/>
              </w:rPr>
              <w:t>本次</w:t>
            </w:r>
            <w:r>
              <w:rPr>
                <w:rFonts w:hint="eastAsia"/>
                <w:sz w:val="24"/>
                <w:szCs w:val="28"/>
              </w:rPr>
              <w:t>免维护铅酸蓄电池应</w:t>
            </w:r>
            <w:r>
              <w:rPr>
                <w:rFonts w:hint="eastAsia" w:ascii="宋体" w:hAnsi="宋体" w:eastAsia="宋体" w:cs="Times New Roman"/>
                <w:sz w:val="24"/>
                <w:szCs w:val="24"/>
              </w:rPr>
              <w:t>为同一批次产品，生产时间不超过到货时间前三个月，生产产品应为全新产品。</w:t>
            </w:r>
          </w:p>
        </w:tc>
      </w:tr>
    </w:tbl>
    <w:p>
      <w:pPr>
        <w:pStyle w:val="2"/>
      </w:pPr>
      <w:r>
        <w:rPr>
          <w:rFonts w:hint="eastAsia"/>
        </w:rPr>
        <w:t>三、其他技术要求</w:t>
      </w:r>
    </w:p>
    <w:p>
      <w:pPr>
        <w:pStyle w:val="3"/>
        <w:ind w:firstLine="562"/>
      </w:pPr>
      <w:r>
        <w:rPr>
          <w:rFonts w:hint="eastAsia"/>
        </w:rPr>
        <w:t>（一）电池更换要求</w:t>
      </w:r>
    </w:p>
    <w:p>
      <w:pPr>
        <w:ind w:firstLine="560" w:firstLineChars="200"/>
        <w:rPr>
          <w:sz w:val="28"/>
          <w:szCs w:val="28"/>
        </w:rPr>
      </w:pPr>
      <w:r>
        <w:rPr>
          <w:rFonts w:hint="eastAsia"/>
          <w:sz w:val="28"/>
          <w:szCs w:val="28"/>
        </w:rPr>
        <w:t>供应商在实施前应提供电池更换全过程安全性承诺，并编制详细的施工方案、安装方案，方案中应包含紧急情况下的应急应对措施，确保电池更换工作期无重大事故发生。如若在电池更换期间因重大操作失误导致中心机房供电中断影响业务应用或造成重大损失，相关责任由供应商承担，并需及时对相关事件进行处置。</w:t>
      </w:r>
    </w:p>
    <w:p>
      <w:pPr>
        <w:pStyle w:val="3"/>
        <w:ind w:firstLine="562"/>
      </w:pPr>
      <w:r>
        <w:rPr>
          <w:rFonts w:hint="eastAsia"/>
        </w:rPr>
        <w:t>（二）维保要求</w:t>
      </w:r>
    </w:p>
    <w:p>
      <w:pPr>
        <w:ind w:firstLine="560" w:firstLineChars="200"/>
        <w:rPr>
          <w:sz w:val="28"/>
          <w:szCs w:val="28"/>
        </w:rPr>
      </w:pPr>
      <w:r>
        <w:rPr>
          <w:rFonts w:hint="eastAsia"/>
          <w:sz w:val="28"/>
          <w:szCs w:val="28"/>
        </w:rPr>
        <w:t>供应商应编制详细的售后服务承诺计划书，并列出具体的售后团队成员及联系方式。</w:t>
      </w:r>
    </w:p>
    <w:p>
      <w:pPr>
        <w:pStyle w:val="3"/>
        <w:ind w:firstLine="562"/>
      </w:pPr>
      <w:r>
        <w:rPr>
          <w:rFonts w:hint="eastAsia"/>
        </w:rPr>
        <w:t>（三）质保要求</w:t>
      </w:r>
    </w:p>
    <w:p>
      <w:pPr>
        <w:numPr>
          <w:ilvl w:val="255"/>
          <w:numId w:val="0"/>
        </w:numPr>
        <w:ind w:firstLine="560" w:firstLineChars="200"/>
        <w:rPr>
          <w:sz w:val="28"/>
          <w:szCs w:val="28"/>
        </w:rPr>
      </w:pPr>
      <w:r>
        <w:rPr>
          <w:rFonts w:hint="eastAsia"/>
          <w:sz w:val="28"/>
          <w:szCs w:val="28"/>
        </w:rPr>
        <w:t>供应商需提供三年原厂质保承诺书。</w:t>
      </w:r>
    </w:p>
    <w:p>
      <w:pPr>
        <w:pStyle w:val="2"/>
      </w:pPr>
      <w:r>
        <w:rPr>
          <w:rFonts w:hint="eastAsia"/>
        </w:rPr>
        <w:t>四、商务要求</w:t>
      </w:r>
    </w:p>
    <w:p>
      <w:pPr>
        <w:pStyle w:val="3"/>
        <w:ind w:firstLine="562"/>
      </w:pPr>
      <w:r>
        <w:rPr>
          <w:rFonts w:hint="eastAsia"/>
        </w:rPr>
        <w:t>（一）标的提供的时间</w:t>
      </w:r>
    </w:p>
    <w:p>
      <w:pPr>
        <w:ind w:firstLine="560" w:firstLineChars="200"/>
        <w:rPr>
          <w:sz w:val="28"/>
          <w:szCs w:val="28"/>
        </w:rPr>
      </w:pPr>
      <w:r>
        <w:rPr>
          <w:rFonts w:hint="eastAsia"/>
          <w:sz w:val="28"/>
          <w:szCs w:val="28"/>
        </w:rPr>
        <w:t>合同签订后30日内完成供货。</w:t>
      </w:r>
    </w:p>
    <w:p>
      <w:pPr>
        <w:pStyle w:val="3"/>
        <w:ind w:firstLine="562"/>
      </w:pPr>
      <w:r>
        <w:rPr>
          <w:rFonts w:hint="eastAsia"/>
        </w:rPr>
        <w:t>（二）合同履行期限</w:t>
      </w:r>
    </w:p>
    <w:p>
      <w:pPr>
        <w:ind w:firstLine="560" w:firstLineChars="200"/>
        <w:rPr>
          <w:color w:val="FF0000"/>
          <w:sz w:val="28"/>
          <w:szCs w:val="28"/>
        </w:rPr>
      </w:pPr>
      <w:r>
        <w:rPr>
          <w:rFonts w:hint="eastAsia"/>
          <w:sz w:val="28"/>
          <w:szCs w:val="28"/>
        </w:rPr>
        <w:t>合同签订后30日内完成供货、安装调试、验收并交付使用。</w:t>
      </w:r>
    </w:p>
    <w:p>
      <w:pPr>
        <w:pStyle w:val="3"/>
        <w:ind w:firstLine="562"/>
      </w:pPr>
      <w:r>
        <w:rPr>
          <w:rFonts w:hint="eastAsia"/>
        </w:rPr>
        <w:t>（三）标的提供的地点</w:t>
      </w:r>
    </w:p>
    <w:p>
      <w:pPr>
        <w:ind w:firstLine="560" w:firstLineChars="200"/>
        <w:rPr>
          <w:sz w:val="28"/>
          <w:szCs w:val="28"/>
        </w:rPr>
      </w:pPr>
      <w:r>
        <w:rPr>
          <w:rFonts w:hint="eastAsia"/>
          <w:sz w:val="28"/>
          <w:szCs w:val="28"/>
        </w:rPr>
        <w:t>广东省广州生态环境监测中心站（番禺区大学城中心南大街19号）。</w:t>
      </w:r>
    </w:p>
    <w:p>
      <w:pPr>
        <w:pStyle w:val="3"/>
        <w:ind w:firstLine="562"/>
        <w:rPr>
          <w:color w:val="FF0000"/>
        </w:rPr>
      </w:pPr>
      <w:r>
        <w:rPr>
          <w:rFonts w:hint="eastAsia"/>
        </w:rPr>
        <w:t>（四）采购资金支付</w:t>
      </w:r>
    </w:p>
    <w:p>
      <w:pPr>
        <w:ind w:firstLine="560" w:firstLineChars="200"/>
        <w:rPr>
          <w:sz w:val="28"/>
          <w:szCs w:val="28"/>
        </w:rPr>
      </w:pPr>
      <w:r>
        <w:rPr>
          <w:rFonts w:hint="eastAsia"/>
          <w:sz w:val="28"/>
          <w:szCs w:val="28"/>
        </w:rPr>
        <w:t>1期：合同签订并收发票后，采购方于5个工作日内支付合同总额50%的货款；</w:t>
      </w:r>
    </w:p>
    <w:p>
      <w:pPr>
        <w:ind w:firstLine="560" w:firstLineChars="200"/>
        <w:rPr>
          <w:sz w:val="28"/>
          <w:szCs w:val="28"/>
        </w:rPr>
      </w:pPr>
      <w:r>
        <w:rPr>
          <w:rFonts w:hint="eastAsia"/>
          <w:sz w:val="28"/>
          <w:szCs w:val="28"/>
        </w:rPr>
        <w:t>2期：仪器设备安装调试完毕、验收合格并收到发票后，采购方于5个工作日内支付合同总额50%的货款。</w:t>
      </w:r>
    </w:p>
    <w:p>
      <w:pPr>
        <w:pStyle w:val="3"/>
        <w:ind w:firstLine="562"/>
      </w:pPr>
      <w:r>
        <w:rPr>
          <w:rFonts w:hint="eastAsia"/>
        </w:rPr>
        <w:t>（五）验收要求</w:t>
      </w:r>
    </w:p>
    <w:p>
      <w:pPr>
        <w:ind w:firstLine="560" w:firstLineChars="200"/>
        <w:rPr>
          <w:sz w:val="28"/>
          <w:szCs w:val="28"/>
        </w:rPr>
      </w:pPr>
      <w:r>
        <w:rPr>
          <w:rFonts w:hint="eastAsia"/>
          <w:sz w:val="28"/>
          <w:szCs w:val="28"/>
        </w:rPr>
        <w:t>1.验收时间及方式：产品安装、调试完毕并试运行正常后，由供应商提出验收申请，由采购方于7个工作日内启动验收。由采购方对所采购产品进行初步验收。</w:t>
      </w:r>
    </w:p>
    <w:p>
      <w:pPr>
        <w:ind w:firstLine="560" w:firstLineChars="200"/>
        <w:rPr>
          <w:sz w:val="28"/>
          <w:szCs w:val="28"/>
        </w:rPr>
      </w:pPr>
      <w:r>
        <w:rPr>
          <w:rFonts w:hint="eastAsia"/>
          <w:sz w:val="28"/>
          <w:szCs w:val="28"/>
        </w:rPr>
        <w:t>2.验收标准：（1）单、证齐全：应有产品合格证（或质量证明）、使用说明、保修证明、发票和其它应具有的单证。（2）产品质量：应符合中华人民共和国国家安全质量标准、环保标准、行业标准。（3）产品所有技术性能规格及参数：应符合招投标文件和合同所要求的技术标准及生产厂商公开的宣传资料和生产厂商官方网站宣传内容的标准要求。（4）产品为全新未使用过的原厂合格正品（包括零部件），表面无划损、无任何缺陷隐患。（5）不满足验收标准的，应免费更换产品直至通过验收。</w:t>
      </w:r>
    </w:p>
    <w:p>
      <w:pPr>
        <w:ind w:firstLine="560" w:firstLineChars="200"/>
        <w:rPr>
          <w:sz w:val="28"/>
          <w:szCs w:val="28"/>
        </w:rPr>
      </w:pPr>
      <w:r>
        <w:rPr>
          <w:rFonts w:hint="eastAsia"/>
          <w:sz w:val="28"/>
          <w:szCs w:val="28"/>
        </w:rPr>
        <w:t>3.验收费用：验收所产生的所有费用由供应商承担。</w:t>
      </w:r>
    </w:p>
    <w:p>
      <w:pPr>
        <w:pStyle w:val="3"/>
        <w:ind w:firstLine="562"/>
      </w:pPr>
      <w:r>
        <w:rPr>
          <w:rFonts w:hint="eastAsia"/>
        </w:rPr>
        <w:t>（六）保密要求</w:t>
      </w:r>
    </w:p>
    <w:p>
      <w:pPr>
        <w:ind w:firstLine="560" w:firstLineChars="200"/>
        <w:rPr>
          <w:sz w:val="28"/>
          <w:szCs w:val="28"/>
        </w:rPr>
      </w:pPr>
      <w:r>
        <w:rPr>
          <w:rFonts w:hint="eastAsia"/>
          <w:sz w:val="28"/>
          <w:szCs w:val="28"/>
        </w:rPr>
        <w:t>供应商对在履行本项目过程中所接触的工作秘密（包括但不限于合同履行过程中涉及的数据、技术文档、商业秘密、任何技术性资料等）承担保密义务。未经采购人书面许可，供应商（包括但不限于供应商员工、代理人、顾问等）不得将从采购人获取的一切资料和信息拿到本项目范围之外使用，否则全部收益归采购人所有，并另行应赔偿因此遭受的全部损失。</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6206018"/>
    </w:sdtPr>
    <w:sdtContent>
      <w:p>
        <w:pPr>
          <w:pStyle w:val="6"/>
          <w:jc w:val="center"/>
        </w:pPr>
        <w:r>
          <w:fldChar w:fldCharType="begin"/>
        </w:r>
        <w:r>
          <w:instrText xml:space="preserve">PAGE   \* MERGEFORMAT</w:instrText>
        </w:r>
        <w:r>
          <w:fldChar w:fldCharType="separate"/>
        </w:r>
        <w:r>
          <w:rPr>
            <w:lang w:val="zh-CN"/>
          </w:rPr>
          <w:t>3</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1ZDBiMDM0NjYwOGYzNjUxMjMyM2Q4YTcxNjgyY2IifQ=="/>
  </w:docVars>
  <w:rsids>
    <w:rsidRoot w:val="001967CB"/>
    <w:rsid w:val="00045802"/>
    <w:rsid w:val="000570E6"/>
    <w:rsid w:val="000719D1"/>
    <w:rsid w:val="000B2888"/>
    <w:rsid w:val="001109E3"/>
    <w:rsid w:val="00110C65"/>
    <w:rsid w:val="001122ED"/>
    <w:rsid w:val="00151B10"/>
    <w:rsid w:val="00190E7D"/>
    <w:rsid w:val="001967CB"/>
    <w:rsid w:val="001A29D7"/>
    <w:rsid w:val="001B6557"/>
    <w:rsid w:val="001C4A3B"/>
    <w:rsid w:val="001D7606"/>
    <w:rsid w:val="00226B6C"/>
    <w:rsid w:val="002E0C72"/>
    <w:rsid w:val="00312627"/>
    <w:rsid w:val="00315C78"/>
    <w:rsid w:val="00316C31"/>
    <w:rsid w:val="003371FD"/>
    <w:rsid w:val="00343A8E"/>
    <w:rsid w:val="00361926"/>
    <w:rsid w:val="00391FA2"/>
    <w:rsid w:val="003A6D8B"/>
    <w:rsid w:val="003C1C86"/>
    <w:rsid w:val="003C6942"/>
    <w:rsid w:val="00431D7A"/>
    <w:rsid w:val="00592C27"/>
    <w:rsid w:val="005B7FB5"/>
    <w:rsid w:val="005C225C"/>
    <w:rsid w:val="005D06F5"/>
    <w:rsid w:val="005D7CA5"/>
    <w:rsid w:val="00612B9C"/>
    <w:rsid w:val="00640934"/>
    <w:rsid w:val="0069742E"/>
    <w:rsid w:val="006A3A67"/>
    <w:rsid w:val="006C1A54"/>
    <w:rsid w:val="006C3492"/>
    <w:rsid w:val="00741BB3"/>
    <w:rsid w:val="0074452E"/>
    <w:rsid w:val="0076638F"/>
    <w:rsid w:val="00776871"/>
    <w:rsid w:val="007A7B4F"/>
    <w:rsid w:val="007B7A79"/>
    <w:rsid w:val="007C4B88"/>
    <w:rsid w:val="00860F73"/>
    <w:rsid w:val="008C16DC"/>
    <w:rsid w:val="008C2E7A"/>
    <w:rsid w:val="00904397"/>
    <w:rsid w:val="00910539"/>
    <w:rsid w:val="009A2B69"/>
    <w:rsid w:val="009B69FB"/>
    <w:rsid w:val="009D7AEA"/>
    <w:rsid w:val="00A34839"/>
    <w:rsid w:val="00A64711"/>
    <w:rsid w:val="00AA1B44"/>
    <w:rsid w:val="00B05EF9"/>
    <w:rsid w:val="00B206AD"/>
    <w:rsid w:val="00B266D7"/>
    <w:rsid w:val="00B32DD0"/>
    <w:rsid w:val="00B951E2"/>
    <w:rsid w:val="00B96E95"/>
    <w:rsid w:val="00BB0348"/>
    <w:rsid w:val="00BB670C"/>
    <w:rsid w:val="00CB6534"/>
    <w:rsid w:val="00CC28D4"/>
    <w:rsid w:val="00CC4F8B"/>
    <w:rsid w:val="00CC6BE4"/>
    <w:rsid w:val="00CF17CC"/>
    <w:rsid w:val="00CF4B2D"/>
    <w:rsid w:val="00D05608"/>
    <w:rsid w:val="00D93D9A"/>
    <w:rsid w:val="00DF5B82"/>
    <w:rsid w:val="00E87BA1"/>
    <w:rsid w:val="00F328DC"/>
    <w:rsid w:val="00F52583"/>
    <w:rsid w:val="00FB16B5"/>
    <w:rsid w:val="00FF45C5"/>
    <w:rsid w:val="31EC3978"/>
    <w:rsid w:val="34D866ED"/>
    <w:rsid w:val="3C0D15A2"/>
    <w:rsid w:val="497A5D53"/>
    <w:rsid w:val="653C7962"/>
    <w:rsid w:val="6DC95BEB"/>
    <w:rsid w:val="73634A7D"/>
    <w:rsid w:val="75ED6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6"/>
    <w:unhideWhenUsed/>
    <w:qFormat/>
    <w:uiPriority w:val="9"/>
    <w:pPr>
      <w:keepNext/>
      <w:keepLines/>
      <w:outlineLvl w:val="1"/>
    </w:pPr>
    <w:rPr>
      <w:rFonts w:asciiTheme="majorHAnsi" w:hAnsiTheme="majorHAnsi" w:eastAsiaTheme="majorEastAsia" w:cstheme="majorBidi"/>
      <w:b/>
      <w:bCs/>
      <w:sz w:val="32"/>
      <w:szCs w:val="32"/>
    </w:rPr>
  </w:style>
  <w:style w:type="paragraph" w:styleId="3">
    <w:name w:val="heading 3"/>
    <w:basedOn w:val="1"/>
    <w:next w:val="1"/>
    <w:link w:val="17"/>
    <w:unhideWhenUsed/>
    <w:qFormat/>
    <w:uiPriority w:val="9"/>
    <w:pPr>
      <w:keepNext/>
      <w:keepLines/>
      <w:ind w:firstLine="200" w:firstLineChars="200"/>
      <w:outlineLvl w:val="2"/>
    </w:pPr>
    <w:rPr>
      <w:b/>
      <w:bCs/>
      <w:sz w:val="28"/>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alloon Text"/>
    <w:basedOn w:val="1"/>
    <w:link w:val="18"/>
    <w:semiHidden/>
    <w:unhideWhenUsed/>
    <w:uiPriority w:val="99"/>
    <w:rPr>
      <w:sz w:val="18"/>
      <w:szCs w:val="18"/>
    </w:rPr>
  </w:style>
  <w:style w:type="paragraph" w:styleId="6">
    <w:name w:val="footer"/>
    <w:basedOn w:val="1"/>
    <w:link w:val="15"/>
    <w:unhideWhenUsed/>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link w:val="12"/>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12">
    <w:name w:val="列出段落 Char"/>
    <w:link w:val="11"/>
    <w:qFormat/>
    <w:locked/>
    <w:uiPriority w:val="99"/>
    <w:rPr>
      <w:rFonts w:ascii="Calibri" w:hAnsi="Calibri" w:eastAsia="宋体" w:cs="Times New Roman"/>
      <w:sz w:val="24"/>
    </w:rPr>
  </w:style>
  <w:style w:type="paragraph" w:customStyle="1" w:styleId="13">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character" w:customStyle="1" w:styleId="14">
    <w:name w:val="页眉 Char"/>
    <w:basedOn w:val="10"/>
    <w:link w:val="7"/>
    <w:qFormat/>
    <w:uiPriority w:val="99"/>
    <w:rPr>
      <w:sz w:val="18"/>
      <w:szCs w:val="18"/>
    </w:rPr>
  </w:style>
  <w:style w:type="character" w:customStyle="1" w:styleId="15">
    <w:name w:val="页脚 Char"/>
    <w:basedOn w:val="10"/>
    <w:link w:val="6"/>
    <w:qFormat/>
    <w:uiPriority w:val="99"/>
    <w:rPr>
      <w:sz w:val="18"/>
      <w:szCs w:val="18"/>
    </w:rPr>
  </w:style>
  <w:style w:type="character" w:customStyle="1" w:styleId="16">
    <w:name w:val="标题 2 Char"/>
    <w:basedOn w:val="10"/>
    <w:link w:val="2"/>
    <w:uiPriority w:val="9"/>
    <w:rPr>
      <w:rFonts w:asciiTheme="majorHAnsi" w:hAnsiTheme="majorHAnsi" w:eastAsiaTheme="majorEastAsia" w:cstheme="majorBidi"/>
      <w:b/>
      <w:bCs/>
      <w:kern w:val="2"/>
      <w:sz w:val="32"/>
      <w:szCs w:val="32"/>
    </w:rPr>
  </w:style>
  <w:style w:type="character" w:customStyle="1" w:styleId="17">
    <w:name w:val="标题 3 Char"/>
    <w:basedOn w:val="10"/>
    <w:link w:val="3"/>
    <w:uiPriority w:val="9"/>
    <w:rPr>
      <w:b/>
      <w:bCs/>
      <w:kern w:val="2"/>
      <w:sz w:val="28"/>
      <w:szCs w:val="32"/>
    </w:rPr>
  </w:style>
  <w:style w:type="character" w:customStyle="1" w:styleId="18">
    <w:name w:val="批注框文本 Char"/>
    <w:basedOn w:val="10"/>
    <w:link w:val="5"/>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1428</Words>
  <Characters>1481</Characters>
  <Lines>11</Lines>
  <Paragraphs>3</Paragraphs>
  <TotalTime>344</TotalTime>
  <ScaleCrop>false</ScaleCrop>
  <LinksUpToDate>false</LinksUpToDate>
  <CharactersWithSpaces>1481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2023-04-17T00:41:00Z</dcterms:created>
  <dc:creator>梁国龙</dc:creator>
  <cp:lastModifiedBy>TOY</cp:lastModifiedBy>
  <dcterms:modified xsi:type="dcterms:W3CDTF">2023-06-29T11:46:58Z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1EE6AE5386654A418B22E28AF996AC3D_13</vt:lpwstr>
  </property>
</Properties>
</file>