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imes New Roman" w:hAnsi="Times New Roman" w:cs="Times New Roman"/>
          <w:color w:val="auto"/>
        </w:rPr>
      </w:pPr>
      <w:bookmarkStart w:id="237" w:name="_GoBack"/>
      <w:bookmarkEnd w:id="237"/>
    </w:p>
    <w:p>
      <w:pPr>
        <w:spacing w:line="360" w:lineRule="auto"/>
        <w:rPr>
          <w:rFonts w:ascii="Times New Roman" w:hAnsi="Times New Roman" w:cs="Times New Roman"/>
          <w:color w:val="auto"/>
        </w:rPr>
      </w:pPr>
    </w:p>
    <w:p>
      <w:pPr>
        <w:tabs>
          <w:tab w:val="left" w:pos="1575"/>
        </w:tabs>
        <w:spacing w:line="360" w:lineRule="auto"/>
        <w:rPr>
          <w:rFonts w:ascii="Times New Roman" w:hAnsi="Times New Roman" w:cs="Times New Roman"/>
          <w:color w:val="auto"/>
        </w:rPr>
      </w:pPr>
      <w:r>
        <w:rPr>
          <w:rFonts w:ascii="Times New Roman" w:hAnsi="Times New Roman" w:cs="Times New Roman"/>
          <w:color w:val="auto"/>
        </w:rPr>
        <w:tab/>
      </w:r>
    </w:p>
    <w:p>
      <w:pPr>
        <w:spacing w:line="360" w:lineRule="auto"/>
        <w:rPr>
          <w:rFonts w:ascii="Times New Roman" w:hAnsi="Times New Roman" w:cs="Times New Roman"/>
          <w:color w:val="auto"/>
        </w:rPr>
      </w:pPr>
    </w:p>
    <w:p>
      <w:pPr>
        <w:pStyle w:val="150"/>
        <w:framePr w:w="0" w:hRule="auto" w:wrap="auto" w:vAnchor="margin" w:hAnchor="text" w:xAlign="left" w:yAlign="inline"/>
        <w:spacing w:before="156" w:beforeLines="50" w:after="156" w:afterLines="50" w:line="360" w:lineRule="auto"/>
        <w:rPr>
          <w:rFonts w:ascii="Times New Roman"/>
          <w:bCs/>
          <w:color w:val="auto"/>
        </w:rPr>
      </w:pPr>
      <w:r>
        <w:rPr>
          <w:rFonts w:ascii="Times New Roman"/>
          <w:bCs/>
          <w:color w:val="auto"/>
        </w:rPr>
        <w:t>广东省</w:t>
      </w:r>
      <w:bookmarkStart w:id="0" w:name="_Hlk41654136"/>
      <w:r>
        <w:rPr>
          <w:rFonts w:ascii="Times New Roman"/>
          <w:bCs/>
          <w:color w:val="auto"/>
        </w:rPr>
        <w:t>建设用地土壤污染修复工程环境监理</w:t>
      </w:r>
      <w:bookmarkEnd w:id="0"/>
      <w:r>
        <w:rPr>
          <w:rFonts w:ascii="Times New Roman"/>
          <w:bCs/>
          <w:color w:val="auto"/>
        </w:rPr>
        <w:t>技术指南（试行）</w:t>
      </w:r>
    </w:p>
    <w:p>
      <w:pPr>
        <w:spacing w:line="360" w:lineRule="auto"/>
        <w:rPr>
          <w:rFonts w:ascii="Times New Roman" w:hAnsi="Times New Roman" w:cs="Times New Roman"/>
          <w:color w:val="auto"/>
        </w:rPr>
      </w:pPr>
    </w:p>
    <w:p>
      <w:pPr>
        <w:spacing w:line="360" w:lineRule="auto"/>
        <w:rPr>
          <w:rFonts w:ascii="Times New Roman" w:hAnsi="Times New Roman" w:cs="Times New Roman"/>
          <w:color w:val="auto"/>
        </w:rPr>
      </w:pPr>
    </w:p>
    <w:p>
      <w:pPr>
        <w:spacing w:line="360" w:lineRule="auto"/>
        <w:rPr>
          <w:rFonts w:ascii="Times New Roman" w:hAnsi="Times New Roman" w:cs="Times New Roman"/>
          <w:color w:val="auto"/>
        </w:rPr>
      </w:pPr>
    </w:p>
    <w:p>
      <w:pPr>
        <w:spacing w:line="360" w:lineRule="auto"/>
        <w:rPr>
          <w:rFonts w:ascii="Times New Roman" w:hAnsi="Times New Roman" w:cs="Times New Roman"/>
          <w:color w:val="auto"/>
        </w:rPr>
      </w:pPr>
    </w:p>
    <w:p>
      <w:pPr>
        <w:spacing w:line="360" w:lineRule="auto"/>
        <w:rPr>
          <w:rFonts w:ascii="Times New Roman" w:hAnsi="Times New Roman" w:cs="Times New Roman"/>
          <w:color w:val="auto"/>
        </w:rPr>
      </w:pPr>
    </w:p>
    <w:p>
      <w:pPr>
        <w:spacing w:line="360" w:lineRule="auto"/>
        <w:rPr>
          <w:rFonts w:ascii="Times New Roman" w:hAnsi="Times New Roman" w:cs="Times New Roman"/>
          <w:color w:val="auto"/>
        </w:rPr>
      </w:pPr>
    </w:p>
    <w:p>
      <w:pPr>
        <w:spacing w:line="360" w:lineRule="auto"/>
        <w:rPr>
          <w:rFonts w:ascii="Times New Roman" w:hAnsi="Times New Roman" w:cs="Times New Roman"/>
          <w:color w:val="auto"/>
        </w:rPr>
      </w:pPr>
    </w:p>
    <w:p>
      <w:pPr>
        <w:spacing w:line="360" w:lineRule="auto"/>
        <w:rPr>
          <w:rFonts w:ascii="Times New Roman" w:hAnsi="Times New Roman" w:cs="Times New Roman"/>
          <w:color w:val="auto"/>
        </w:rPr>
      </w:pPr>
    </w:p>
    <w:p>
      <w:pPr>
        <w:spacing w:line="360" w:lineRule="auto"/>
        <w:rPr>
          <w:rFonts w:ascii="Times New Roman" w:hAnsi="Times New Roman" w:cs="Times New Roman"/>
          <w:color w:val="auto"/>
        </w:rPr>
      </w:pPr>
    </w:p>
    <w:p>
      <w:pPr>
        <w:numPr>
          <w:ilvl w:val="0"/>
          <w:numId w:val="1"/>
        </w:numPr>
        <w:spacing w:line="360" w:lineRule="auto"/>
        <w:jc w:val="center"/>
        <w:outlineLvl w:val="0"/>
        <w:rPr>
          <w:rFonts w:ascii="Times New Roman" w:hAnsi="Times New Roman" w:eastAsia="黑体" w:cs="Times New Roman"/>
          <w:b/>
          <w:color w:val="auto"/>
          <w:sz w:val="28"/>
          <w:szCs w:val="28"/>
        </w:rPr>
        <w:sectPr>
          <w:headerReference r:id="rId3" w:type="default"/>
          <w:headerReference r:id="rId4" w:type="even"/>
          <w:pgSz w:w="11907" w:h="16839"/>
          <w:pgMar w:top="1440" w:right="1440" w:bottom="1440" w:left="1440" w:header="1418" w:footer="851" w:gutter="0"/>
          <w:pgNumType w:fmt="upperRoman" w:start="1"/>
          <w:cols w:space="720" w:num="1"/>
          <w:docGrid w:type="lines" w:linePitch="312" w:charSpace="0"/>
        </w:sectPr>
      </w:pPr>
      <w:bookmarkStart w:id="1" w:name="_Toc498694298"/>
      <w:bookmarkStart w:id="2" w:name="_Toc500177492"/>
      <w:bookmarkStart w:id="3" w:name="_Toc498693169"/>
      <w:bookmarkStart w:id="4" w:name="_Toc500939493"/>
      <w:bookmarkStart w:id="5" w:name="_Toc501121112"/>
      <w:bookmarkStart w:id="6" w:name="_Toc512528983"/>
      <w:bookmarkStart w:id="7" w:name="_Toc30708"/>
      <w:bookmarkStart w:id="8" w:name="_Toc518003699"/>
      <w:bookmarkStart w:id="9" w:name="SectionMark2"/>
    </w:p>
    <w:p>
      <w:pPr>
        <w:pStyle w:val="24"/>
        <w:tabs>
          <w:tab w:val="right" w:leader="dot" w:pos="9345"/>
        </w:tabs>
        <w:jc w:val="center"/>
        <w:rPr>
          <w:rFonts w:ascii="Times New Roman" w:eastAsia="黑体"/>
          <w:b/>
          <w:color w:val="auto"/>
          <w:sz w:val="32"/>
          <w:szCs w:val="32"/>
        </w:rPr>
      </w:pPr>
      <w:r>
        <w:rPr>
          <w:rFonts w:ascii="Times New Roman" w:eastAsia="黑体"/>
          <w:b/>
          <w:color w:val="auto"/>
          <w:sz w:val="32"/>
          <w:szCs w:val="32"/>
        </w:rPr>
        <w:t xml:space="preserve">目  </w:t>
      </w:r>
      <w:bookmarkEnd w:id="1"/>
      <w:bookmarkEnd w:id="2"/>
      <w:bookmarkEnd w:id="3"/>
      <w:bookmarkEnd w:id="4"/>
      <w:bookmarkEnd w:id="5"/>
      <w:bookmarkEnd w:id="6"/>
      <w:bookmarkEnd w:id="7"/>
      <w:bookmarkEnd w:id="8"/>
      <w:r>
        <w:rPr>
          <w:rFonts w:ascii="Times New Roman" w:eastAsia="黑体"/>
          <w:b/>
          <w:color w:val="auto"/>
          <w:sz w:val="32"/>
          <w:szCs w:val="32"/>
        </w:rPr>
        <w:t>录</w:t>
      </w:r>
    </w:p>
    <w:p>
      <w:pPr>
        <w:pStyle w:val="24"/>
        <w:tabs>
          <w:tab w:val="right" w:leader="dot" w:pos="9345"/>
        </w:tabs>
        <w:rPr>
          <w:rFonts w:ascii="Times New Roman" w:eastAsia="黑体"/>
          <w:color w:val="auto"/>
          <w:sz w:val="24"/>
          <w:szCs w:val="24"/>
        </w:rPr>
      </w:pPr>
    </w:p>
    <w:p>
      <w:pPr>
        <w:pStyle w:val="24"/>
        <w:tabs>
          <w:tab w:val="right" w:leader="dot" w:pos="9345"/>
        </w:tabs>
        <w:rPr>
          <w:rFonts w:ascii="Times New Roman" w:eastAsia="黑体"/>
          <w:color w:val="auto"/>
          <w:sz w:val="24"/>
          <w:szCs w:val="24"/>
        </w:rPr>
      </w:pPr>
    </w:p>
    <w:p>
      <w:pPr>
        <w:pStyle w:val="24"/>
        <w:tabs>
          <w:tab w:val="right" w:leader="dot" w:pos="9027"/>
        </w:tabs>
        <w:spacing w:line="360" w:lineRule="auto"/>
        <w:rPr>
          <w:rFonts w:ascii="Times New Roman" w:eastAsia="黑体"/>
          <w:color w:val="auto"/>
          <w:szCs w:val="21"/>
        </w:rPr>
      </w:pPr>
      <w:r>
        <w:rPr>
          <w:color w:val="auto"/>
        </w:rPr>
        <w:fldChar w:fldCharType="begin"/>
      </w:r>
      <w:r>
        <w:rPr>
          <w:color w:val="auto"/>
        </w:rPr>
        <w:instrText xml:space="preserve"> HYPERLINK \l "_Toc23871" </w:instrText>
      </w:r>
      <w:r>
        <w:rPr>
          <w:color w:val="auto"/>
        </w:rPr>
        <w:fldChar w:fldCharType="separate"/>
      </w:r>
      <w:r>
        <w:rPr>
          <w:rFonts w:ascii="Times New Roman" w:eastAsia="黑体"/>
          <w:color w:val="auto"/>
          <w:szCs w:val="22"/>
        </w:rPr>
        <w:t>目    录</w:t>
      </w:r>
      <w:r>
        <w:rPr>
          <w:rFonts w:ascii="Times New Roman" w:eastAsia="黑体"/>
          <w:color w:val="auto"/>
          <w:szCs w:val="21"/>
        </w:rPr>
        <w:tab/>
      </w:r>
      <w:r>
        <w:rPr>
          <w:rFonts w:ascii="Times New Roman" w:eastAsia="黑体"/>
          <w:color w:val="auto"/>
        </w:rPr>
        <w:t>І</w:t>
      </w:r>
      <w:r>
        <w:rPr>
          <w:rFonts w:ascii="Times New Roman" w:eastAsia="黑体"/>
          <w:color w:val="auto"/>
        </w:rPr>
        <w:fldChar w:fldCharType="end"/>
      </w:r>
    </w:p>
    <w:p>
      <w:pPr>
        <w:pStyle w:val="24"/>
        <w:tabs>
          <w:tab w:val="right" w:leader="dot" w:pos="9027"/>
        </w:tabs>
        <w:spacing w:line="360" w:lineRule="auto"/>
        <w:rPr>
          <w:rFonts w:ascii="Times New Roman" w:eastAsia="黑体"/>
          <w:color w:val="auto"/>
          <w:szCs w:val="21"/>
        </w:rPr>
      </w:pPr>
      <w:r>
        <w:rPr>
          <w:color w:val="auto"/>
        </w:rPr>
        <w:fldChar w:fldCharType="begin"/>
      </w:r>
      <w:r>
        <w:rPr>
          <w:color w:val="auto"/>
        </w:rPr>
        <w:instrText xml:space="preserve"> HYPERLINK \l "_Toc23871" </w:instrText>
      </w:r>
      <w:r>
        <w:rPr>
          <w:color w:val="auto"/>
        </w:rPr>
        <w:fldChar w:fldCharType="separate"/>
      </w:r>
      <w:r>
        <w:rPr>
          <w:rFonts w:ascii="Times New Roman" w:eastAsia="黑体"/>
          <w:color w:val="auto"/>
          <w:szCs w:val="21"/>
        </w:rPr>
        <w:t>前    言</w:t>
      </w:r>
      <w:r>
        <w:rPr>
          <w:rFonts w:ascii="Times New Roman" w:eastAsia="黑体"/>
          <w:color w:val="auto"/>
          <w:szCs w:val="21"/>
        </w:rPr>
        <w:tab/>
      </w:r>
      <w:r>
        <w:rPr>
          <w:rFonts w:ascii="Times New Roman" w:eastAsia="黑体"/>
          <w:color w:val="auto"/>
          <w:szCs w:val="21"/>
        </w:rPr>
        <w:fldChar w:fldCharType="begin"/>
      </w:r>
      <w:r>
        <w:rPr>
          <w:rFonts w:ascii="Times New Roman" w:eastAsia="黑体"/>
          <w:color w:val="auto"/>
          <w:szCs w:val="21"/>
        </w:rPr>
        <w:instrText xml:space="preserve"> PAGEREF _Toc23871 </w:instrText>
      </w:r>
      <w:r>
        <w:rPr>
          <w:rFonts w:ascii="Times New Roman" w:eastAsia="黑体"/>
          <w:color w:val="auto"/>
          <w:szCs w:val="21"/>
        </w:rPr>
        <w:fldChar w:fldCharType="separate"/>
      </w:r>
      <w:r>
        <w:rPr>
          <w:rFonts w:ascii="Times New Roman" w:eastAsia="黑体"/>
          <w:color w:val="auto"/>
          <w:szCs w:val="21"/>
        </w:rPr>
        <w:t>II</w:t>
      </w:r>
      <w:r>
        <w:rPr>
          <w:rFonts w:ascii="Times New Roman" w:eastAsia="黑体"/>
          <w:color w:val="auto"/>
          <w:szCs w:val="21"/>
        </w:rPr>
        <w:fldChar w:fldCharType="end"/>
      </w:r>
      <w:r>
        <w:rPr>
          <w:rFonts w:ascii="Times New Roman" w:eastAsia="黑体"/>
          <w:color w:val="auto"/>
          <w:szCs w:val="21"/>
        </w:rPr>
        <w:fldChar w:fldCharType="end"/>
      </w:r>
    </w:p>
    <w:p>
      <w:pPr>
        <w:pStyle w:val="24"/>
        <w:tabs>
          <w:tab w:val="right" w:leader="dot" w:pos="9027"/>
        </w:tabs>
        <w:spacing w:line="360" w:lineRule="auto"/>
        <w:rPr>
          <w:rFonts w:ascii="Times New Roman" w:eastAsia="黑体"/>
          <w:color w:val="auto"/>
          <w:szCs w:val="21"/>
        </w:rPr>
      </w:pPr>
      <w:r>
        <w:rPr>
          <w:rFonts w:ascii="Times New Roman" w:eastAsia="黑体"/>
          <w:color w:val="auto"/>
          <w:szCs w:val="21"/>
        </w:rPr>
        <w:fldChar w:fldCharType="begin"/>
      </w:r>
      <w:r>
        <w:rPr>
          <w:rStyle w:val="38"/>
          <w:rFonts w:eastAsia="黑体"/>
          <w:kern w:val="10"/>
          <w:szCs w:val="21"/>
        </w:rPr>
        <w:instrText xml:space="preserve"> TOC \o "1-1" \h \z \u </w:instrText>
      </w:r>
      <w:r>
        <w:rPr>
          <w:rFonts w:ascii="Times New Roman" w:eastAsia="黑体"/>
          <w:color w:val="auto"/>
          <w:szCs w:val="21"/>
        </w:rPr>
        <w:fldChar w:fldCharType="separate"/>
      </w:r>
      <w:r>
        <w:rPr>
          <w:color w:val="auto"/>
        </w:rPr>
        <w:fldChar w:fldCharType="begin"/>
      </w:r>
      <w:r>
        <w:rPr>
          <w:color w:val="auto"/>
        </w:rPr>
        <w:instrText xml:space="preserve"> HYPERLINK \l "_Toc14552" </w:instrText>
      </w:r>
      <w:r>
        <w:rPr>
          <w:color w:val="auto"/>
        </w:rPr>
        <w:fldChar w:fldCharType="separate"/>
      </w:r>
      <w:r>
        <w:rPr>
          <w:rFonts w:ascii="Times New Roman" w:eastAsia="黑体"/>
          <w:color w:val="auto"/>
          <w:szCs w:val="21"/>
        </w:rPr>
        <w:t>1</w:t>
      </w:r>
      <w:r>
        <w:rPr>
          <w:rFonts w:ascii="Times New Roman" w:eastAsia="黑体"/>
          <w:color w:val="auto"/>
          <w:kern w:val="10"/>
          <w:szCs w:val="21"/>
        </w:rPr>
        <w:t xml:space="preserve"> 适用范围</w:t>
      </w:r>
      <w:r>
        <w:rPr>
          <w:rFonts w:ascii="Times New Roman" w:eastAsia="黑体"/>
          <w:color w:val="auto"/>
          <w:szCs w:val="21"/>
        </w:rPr>
        <w:tab/>
      </w:r>
      <w:r>
        <w:rPr>
          <w:rFonts w:ascii="Times New Roman" w:eastAsia="黑体"/>
          <w:color w:val="auto"/>
          <w:szCs w:val="21"/>
        </w:rPr>
        <w:fldChar w:fldCharType="begin"/>
      </w:r>
      <w:r>
        <w:rPr>
          <w:rFonts w:ascii="Times New Roman" w:eastAsia="黑体"/>
          <w:color w:val="auto"/>
          <w:szCs w:val="21"/>
        </w:rPr>
        <w:instrText xml:space="preserve"> PAGEREF _Toc14552 </w:instrText>
      </w:r>
      <w:r>
        <w:rPr>
          <w:rFonts w:ascii="Times New Roman" w:eastAsia="黑体"/>
          <w:color w:val="auto"/>
          <w:szCs w:val="21"/>
        </w:rPr>
        <w:fldChar w:fldCharType="separate"/>
      </w:r>
      <w:r>
        <w:rPr>
          <w:rFonts w:ascii="Times New Roman" w:eastAsia="黑体"/>
          <w:color w:val="auto"/>
          <w:szCs w:val="21"/>
        </w:rPr>
        <w:t>1</w:t>
      </w:r>
      <w:r>
        <w:rPr>
          <w:rFonts w:ascii="Times New Roman" w:eastAsia="黑体"/>
          <w:color w:val="auto"/>
          <w:szCs w:val="21"/>
        </w:rPr>
        <w:fldChar w:fldCharType="end"/>
      </w:r>
      <w:r>
        <w:rPr>
          <w:rFonts w:ascii="Times New Roman" w:eastAsia="黑体"/>
          <w:color w:val="auto"/>
          <w:szCs w:val="21"/>
        </w:rPr>
        <w:fldChar w:fldCharType="end"/>
      </w:r>
    </w:p>
    <w:p>
      <w:pPr>
        <w:pStyle w:val="24"/>
        <w:tabs>
          <w:tab w:val="right" w:leader="dot" w:pos="9027"/>
        </w:tabs>
        <w:spacing w:line="360" w:lineRule="auto"/>
        <w:rPr>
          <w:rFonts w:ascii="Times New Roman" w:eastAsia="黑体"/>
          <w:color w:val="auto"/>
          <w:szCs w:val="21"/>
        </w:rPr>
      </w:pPr>
      <w:r>
        <w:rPr>
          <w:color w:val="auto"/>
        </w:rPr>
        <w:fldChar w:fldCharType="begin"/>
      </w:r>
      <w:r>
        <w:rPr>
          <w:color w:val="auto"/>
        </w:rPr>
        <w:instrText xml:space="preserve"> HYPERLINK \l "_Toc23119" </w:instrText>
      </w:r>
      <w:r>
        <w:rPr>
          <w:color w:val="auto"/>
        </w:rPr>
        <w:fldChar w:fldCharType="separate"/>
      </w:r>
      <w:r>
        <w:rPr>
          <w:rFonts w:ascii="Times New Roman" w:eastAsia="黑体"/>
          <w:color w:val="auto"/>
          <w:szCs w:val="21"/>
        </w:rPr>
        <w:t>2</w:t>
      </w:r>
      <w:r>
        <w:rPr>
          <w:rFonts w:ascii="Times New Roman" w:eastAsia="黑体"/>
          <w:color w:val="auto"/>
          <w:kern w:val="10"/>
          <w:szCs w:val="21"/>
        </w:rPr>
        <w:t xml:space="preserve"> 规范性引用文件</w:t>
      </w:r>
      <w:r>
        <w:rPr>
          <w:rFonts w:ascii="Times New Roman" w:eastAsia="黑体"/>
          <w:color w:val="auto"/>
          <w:szCs w:val="21"/>
        </w:rPr>
        <w:tab/>
      </w:r>
      <w:r>
        <w:rPr>
          <w:rFonts w:ascii="Times New Roman" w:eastAsia="黑体"/>
          <w:color w:val="auto"/>
          <w:szCs w:val="21"/>
        </w:rPr>
        <w:fldChar w:fldCharType="begin"/>
      </w:r>
      <w:r>
        <w:rPr>
          <w:rFonts w:ascii="Times New Roman" w:eastAsia="黑体"/>
          <w:color w:val="auto"/>
          <w:szCs w:val="21"/>
        </w:rPr>
        <w:instrText xml:space="preserve"> PAGEREF _Toc23119 </w:instrText>
      </w:r>
      <w:r>
        <w:rPr>
          <w:rFonts w:ascii="Times New Roman" w:eastAsia="黑体"/>
          <w:color w:val="auto"/>
          <w:szCs w:val="21"/>
        </w:rPr>
        <w:fldChar w:fldCharType="separate"/>
      </w:r>
      <w:r>
        <w:rPr>
          <w:rFonts w:ascii="Times New Roman" w:eastAsia="黑体"/>
          <w:color w:val="auto"/>
          <w:szCs w:val="21"/>
        </w:rPr>
        <w:t>1</w:t>
      </w:r>
      <w:r>
        <w:rPr>
          <w:rFonts w:ascii="Times New Roman" w:eastAsia="黑体"/>
          <w:color w:val="auto"/>
          <w:szCs w:val="21"/>
        </w:rPr>
        <w:fldChar w:fldCharType="end"/>
      </w:r>
      <w:r>
        <w:rPr>
          <w:rFonts w:ascii="Times New Roman" w:eastAsia="黑体"/>
          <w:color w:val="auto"/>
          <w:szCs w:val="21"/>
        </w:rPr>
        <w:fldChar w:fldCharType="end"/>
      </w:r>
    </w:p>
    <w:p>
      <w:pPr>
        <w:pStyle w:val="24"/>
        <w:tabs>
          <w:tab w:val="right" w:leader="dot" w:pos="9027"/>
        </w:tabs>
        <w:spacing w:line="360" w:lineRule="auto"/>
        <w:rPr>
          <w:rFonts w:ascii="Times New Roman" w:eastAsia="黑体"/>
          <w:color w:val="auto"/>
          <w:szCs w:val="21"/>
        </w:rPr>
      </w:pPr>
      <w:r>
        <w:rPr>
          <w:color w:val="auto"/>
        </w:rPr>
        <w:fldChar w:fldCharType="begin"/>
      </w:r>
      <w:r>
        <w:rPr>
          <w:color w:val="auto"/>
        </w:rPr>
        <w:instrText xml:space="preserve"> HYPERLINK \l "_Toc9493" </w:instrText>
      </w:r>
      <w:r>
        <w:rPr>
          <w:color w:val="auto"/>
        </w:rPr>
        <w:fldChar w:fldCharType="separate"/>
      </w:r>
      <w:r>
        <w:rPr>
          <w:rFonts w:ascii="Times New Roman" w:eastAsia="黑体"/>
          <w:color w:val="auto"/>
          <w:szCs w:val="21"/>
        </w:rPr>
        <w:t>3</w:t>
      </w:r>
      <w:r>
        <w:rPr>
          <w:rFonts w:ascii="Times New Roman" w:eastAsia="黑体"/>
          <w:color w:val="auto"/>
          <w:kern w:val="10"/>
          <w:szCs w:val="21"/>
        </w:rPr>
        <w:t xml:space="preserve"> 术语和定义</w:t>
      </w:r>
      <w:r>
        <w:rPr>
          <w:rFonts w:ascii="Times New Roman" w:eastAsia="黑体"/>
          <w:color w:val="auto"/>
          <w:szCs w:val="21"/>
        </w:rPr>
        <w:tab/>
      </w:r>
      <w:r>
        <w:rPr>
          <w:rFonts w:ascii="Times New Roman" w:eastAsia="黑体"/>
          <w:color w:val="auto"/>
          <w:szCs w:val="21"/>
        </w:rPr>
        <w:fldChar w:fldCharType="begin"/>
      </w:r>
      <w:r>
        <w:rPr>
          <w:rFonts w:ascii="Times New Roman" w:eastAsia="黑体"/>
          <w:color w:val="auto"/>
          <w:szCs w:val="21"/>
        </w:rPr>
        <w:instrText xml:space="preserve"> PAGEREF _Toc9493 </w:instrText>
      </w:r>
      <w:r>
        <w:rPr>
          <w:rFonts w:ascii="Times New Roman" w:eastAsia="黑体"/>
          <w:color w:val="auto"/>
          <w:szCs w:val="21"/>
        </w:rPr>
        <w:fldChar w:fldCharType="separate"/>
      </w:r>
      <w:r>
        <w:rPr>
          <w:rFonts w:ascii="Times New Roman" w:eastAsia="黑体"/>
          <w:color w:val="auto"/>
          <w:szCs w:val="21"/>
        </w:rPr>
        <w:t>2</w:t>
      </w:r>
      <w:r>
        <w:rPr>
          <w:rFonts w:ascii="Times New Roman" w:eastAsia="黑体"/>
          <w:color w:val="auto"/>
          <w:szCs w:val="21"/>
        </w:rPr>
        <w:fldChar w:fldCharType="end"/>
      </w:r>
      <w:r>
        <w:rPr>
          <w:rFonts w:ascii="Times New Roman" w:eastAsia="黑体"/>
          <w:color w:val="auto"/>
          <w:szCs w:val="21"/>
        </w:rPr>
        <w:fldChar w:fldCharType="end"/>
      </w:r>
    </w:p>
    <w:p>
      <w:pPr>
        <w:pStyle w:val="24"/>
        <w:tabs>
          <w:tab w:val="right" w:leader="dot" w:pos="9027"/>
        </w:tabs>
        <w:spacing w:line="360" w:lineRule="auto"/>
        <w:rPr>
          <w:rFonts w:ascii="Times New Roman" w:eastAsia="黑体"/>
          <w:color w:val="auto"/>
          <w:szCs w:val="21"/>
        </w:rPr>
      </w:pPr>
      <w:r>
        <w:rPr>
          <w:color w:val="auto"/>
        </w:rPr>
        <w:fldChar w:fldCharType="begin"/>
      </w:r>
      <w:r>
        <w:rPr>
          <w:color w:val="auto"/>
        </w:rPr>
        <w:instrText xml:space="preserve"> HYPERLINK \l "_Toc4982" </w:instrText>
      </w:r>
      <w:r>
        <w:rPr>
          <w:color w:val="auto"/>
        </w:rPr>
        <w:fldChar w:fldCharType="separate"/>
      </w:r>
      <w:r>
        <w:rPr>
          <w:rFonts w:ascii="Times New Roman" w:eastAsia="黑体"/>
          <w:color w:val="auto"/>
          <w:szCs w:val="21"/>
        </w:rPr>
        <w:t>4</w:t>
      </w:r>
      <w:r>
        <w:rPr>
          <w:rFonts w:ascii="Times New Roman" w:eastAsia="黑体"/>
          <w:color w:val="auto"/>
          <w:kern w:val="10"/>
          <w:szCs w:val="21"/>
        </w:rPr>
        <w:t xml:space="preserve"> 工作目的与原则</w:t>
      </w:r>
      <w:r>
        <w:rPr>
          <w:rFonts w:ascii="Times New Roman" w:eastAsia="黑体"/>
          <w:color w:val="auto"/>
          <w:szCs w:val="21"/>
        </w:rPr>
        <w:tab/>
      </w:r>
      <w:r>
        <w:rPr>
          <w:rFonts w:ascii="Times New Roman" w:eastAsia="黑体"/>
          <w:color w:val="auto"/>
          <w:szCs w:val="21"/>
        </w:rPr>
        <w:fldChar w:fldCharType="begin"/>
      </w:r>
      <w:r>
        <w:rPr>
          <w:rFonts w:ascii="Times New Roman" w:eastAsia="黑体"/>
          <w:color w:val="auto"/>
          <w:szCs w:val="21"/>
        </w:rPr>
        <w:instrText xml:space="preserve"> PAGEREF _Toc4982 </w:instrText>
      </w:r>
      <w:r>
        <w:rPr>
          <w:rFonts w:ascii="Times New Roman" w:eastAsia="黑体"/>
          <w:color w:val="auto"/>
          <w:szCs w:val="21"/>
        </w:rPr>
        <w:fldChar w:fldCharType="separate"/>
      </w:r>
      <w:r>
        <w:rPr>
          <w:rFonts w:ascii="Times New Roman" w:eastAsia="黑体"/>
          <w:color w:val="auto"/>
          <w:szCs w:val="21"/>
        </w:rPr>
        <w:t>3</w:t>
      </w:r>
      <w:r>
        <w:rPr>
          <w:rFonts w:ascii="Times New Roman" w:eastAsia="黑体"/>
          <w:color w:val="auto"/>
          <w:szCs w:val="21"/>
        </w:rPr>
        <w:fldChar w:fldCharType="end"/>
      </w:r>
      <w:r>
        <w:rPr>
          <w:rFonts w:ascii="Times New Roman" w:eastAsia="黑体"/>
          <w:color w:val="auto"/>
          <w:szCs w:val="21"/>
        </w:rPr>
        <w:fldChar w:fldCharType="end"/>
      </w:r>
    </w:p>
    <w:p>
      <w:pPr>
        <w:pStyle w:val="24"/>
        <w:tabs>
          <w:tab w:val="right" w:leader="dot" w:pos="9027"/>
        </w:tabs>
        <w:spacing w:line="360" w:lineRule="auto"/>
        <w:rPr>
          <w:rFonts w:ascii="Times New Roman" w:eastAsia="黑体"/>
          <w:color w:val="auto"/>
          <w:szCs w:val="21"/>
        </w:rPr>
      </w:pPr>
      <w:r>
        <w:rPr>
          <w:color w:val="auto"/>
        </w:rPr>
        <w:fldChar w:fldCharType="begin"/>
      </w:r>
      <w:r>
        <w:rPr>
          <w:color w:val="auto"/>
        </w:rPr>
        <w:instrText xml:space="preserve"> HYPERLINK \l "_Toc1960" </w:instrText>
      </w:r>
      <w:r>
        <w:rPr>
          <w:color w:val="auto"/>
        </w:rPr>
        <w:fldChar w:fldCharType="separate"/>
      </w:r>
      <w:r>
        <w:rPr>
          <w:rFonts w:ascii="Times New Roman" w:eastAsia="黑体"/>
          <w:color w:val="auto"/>
          <w:szCs w:val="21"/>
        </w:rPr>
        <w:t>5</w:t>
      </w:r>
      <w:r>
        <w:rPr>
          <w:rFonts w:ascii="Times New Roman" w:eastAsia="黑体"/>
          <w:color w:val="auto"/>
          <w:kern w:val="10"/>
          <w:szCs w:val="21"/>
        </w:rPr>
        <w:t xml:space="preserve"> 工作程序</w:t>
      </w:r>
      <w:r>
        <w:rPr>
          <w:rFonts w:ascii="Times New Roman" w:eastAsia="黑体"/>
          <w:color w:val="auto"/>
          <w:szCs w:val="21"/>
        </w:rPr>
        <w:tab/>
      </w:r>
      <w:r>
        <w:rPr>
          <w:rFonts w:ascii="Times New Roman" w:eastAsia="黑体"/>
          <w:color w:val="auto"/>
          <w:szCs w:val="21"/>
        </w:rPr>
        <w:fldChar w:fldCharType="begin"/>
      </w:r>
      <w:r>
        <w:rPr>
          <w:rFonts w:ascii="Times New Roman" w:eastAsia="黑体"/>
          <w:color w:val="auto"/>
          <w:szCs w:val="21"/>
        </w:rPr>
        <w:instrText xml:space="preserve"> PAGEREF _Toc1960 </w:instrText>
      </w:r>
      <w:r>
        <w:rPr>
          <w:rFonts w:ascii="Times New Roman" w:eastAsia="黑体"/>
          <w:color w:val="auto"/>
          <w:szCs w:val="21"/>
        </w:rPr>
        <w:fldChar w:fldCharType="separate"/>
      </w:r>
      <w:r>
        <w:rPr>
          <w:rFonts w:ascii="Times New Roman" w:eastAsia="黑体"/>
          <w:color w:val="auto"/>
          <w:szCs w:val="21"/>
        </w:rPr>
        <w:t>4</w:t>
      </w:r>
      <w:r>
        <w:rPr>
          <w:rFonts w:ascii="Times New Roman" w:eastAsia="黑体"/>
          <w:color w:val="auto"/>
          <w:szCs w:val="21"/>
        </w:rPr>
        <w:fldChar w:fldCharType="end"/>
      </w:r>
      <w:r>
        <w:rPr>
          <w:rFonts w:ascii="Times New Roman" w:eastAsia="黑体"/>
          <w:color w:val="auto"/>
          <w:szCs w:val="21"/>
        </w:rPr>
        <w:fldChar w:fldCharType="end"/>
      </w:r>
    </w:p>
    <w:p>
      <w:pPr>
        <w:pStyle w:val="24"/>
        <w:tabs>
          <w:tab w:val="right" w:leader="dot" w:pos="9027"/>
        </w:tabs>
        <w:spacing w:line="360" w:lineRule="auto"/>
        <w:rPr>
          <w:rFonts w:ascii="Times New Roman" w:eastAsia="黑体"/>
          <w:color w:val="auto"/>
          <w:szCs w:val="21"/>
        </w:rPr>
      </w:pPr>
      <w:r>
        <w:rPr>
          <w:color w:val="auto"/>
        </w:rPr>
        <w:fldChar w:fldCharType="begin"/>
      </w:r>
      <w:r>
        <w:rPr>
          <w:color w:val="auto"/>
        </w:rPr>
        <w:instrText xml:space="preserve"> HYPERLINK \l "_Toc10950" </w:instrText>
      </w:r>
      <w:r>
        <w:rPr>
          <w:color w:val="auto"/>
        </w:rPr>
        <w:fldChar w:fldCharType="separate"/>
      </w:r>
      <w:r>
        <w:rPr>
          <w:rFonts w:ascii="Times New Roman" w:eastAsia="黑体"/>
          <w:color w:val="auto"/>
          <w:szCs w:val="21"/>
        </w:rPr>
        <w:t>6</w:t>
      </w:r>
      <w:r>
        <w:rPr>
          <w:rFonts w:ascii="Times New Roman" w:eastAsia="黑体"/>
          <w:color w:val="auto"/>
          <w:kern w:val="10"/>
          <w:szCs w:val="21"/>
        </w:rPr>
        <w:t xml:space="preserve"> 工作方法</w:t>
      </w:r>
      <w:r>
        <w:rPr>
          <w:rFonts w:ascii="Times New Roman" w:eastAsia="黑体"/>
          <w:color w:val="auto"/>
          <w:szCs w:val="21"/>
        </w:rPr>
        <w:tab/>
      </w:r>
      <w:r>
        <w:rPr>
          <w:rFonts w:ascii="Times New Roman" w:eastAsia="黑体"/>
          <w:color w:val="auto"/>
          <w:szCs w:val="21"/>
        </w:rPr>
        <w:fldChar w:fldCharType="begin"/>
      </w:r>
      <w:r>
        <w:rPr>
          <w:rFonts w:ascii="Times New Roman" w:eastAsia="黑体"/>
          <w:color w:val="auto"/>
          <w:szCs w:val="21"/>
        </w:rPr>
        <w:instrText xml:space="preserve"> PAGEREF _Toc10950 </w:instrText>
      </w:r>
      <w:r>
        <w:rPr>
          <w:rFonts w:ascii="Times New Roman" w:eastAsia="黑体"/>
          <w:color w:val="auto"/>
          <w:szCs w:val="21"/>
        </w:rPr>
        <w:fldChar w:fldCharType="separate"/>
      </w:r>
      <w:r>
        <w:rPr>
          <w:rFonts w:ascii="Times New Roman" w:eastAsia="黑体"/>
          <w:color w:val="auto"/>
          <w:szCs w:val="21"/>
        </w:rPr>
        <w:t>5</w:t>
      </w:r>
      <w:r>
        <w:rPr>
          <w:rFonts w:ascii="Times New Roman" w:eastAsia="黑体"/>
          <w:color w:val="auto"/>
          <w:szCs w:val="21"/>
        </w:rPr>
        <w:fldChar w:fldCharType="end"/>
      </w:r>
      <w:r>
        <w:rPr>
          <w:rFonts w:ascii="Times New Roman" w:eastAsia="黑体"/>
          <w:color w:val="auto"/>
          <w:szCs w:val="21"/>
        </w:rPr>
        <w:fldChar w:fldCharType="end"/>
      </w:r>
    </w:p>
    <w:p>
      <w:pPr>
        <w:pStyle w:val="24"/>
        <w:tabs>
          <w:tab w:val="right" w:leader="dot" w:pos="9027"/>
        </w:tabs>
        <w:spacing w:line="360" w:lineRule="auto"/>
        <w:rPr>
          <w:rFonts w:ascii="Times New Roman" w:eastAsia="黑体"/>
          <w:color w:val="auto"/>
          <w:szCs w:val="21"/>
        </w:rPr>
      </w:pPr>
      <w:r>
        <w:rPr>
          <w:color w:val="auto"/>
        </w:rPr>
        <w:fldChar w:fldCharType="begin"/>
      </w:r>
      <w:r>
        <w:rPr>
          <w:color w:val="auto"/>
        </w:rPr>
        <w:instrText xml:space="preserve"> HYPERLINK \l "_Toc18747" </w:instrText>
      </w:r>
      <w:r>
        <w:rPr>
          <w:color w:val="auto"/>
        </w:rPr>
        <w:fldChar w:fldCharType="separate"/>
      </w:r>
      <w:r>
        <w:rPr>
          <w:rFonts w:ascii="Times New Roman" w:eastAsia="黑体"/>
          <w:color w:val="auto"/>
          <w:szCs w:val="21"/>
        </w:rPr>
        <w:t>7</w:t>
      </w:r>
      <w:r>
        <w:rPr>
          <w:rFonts w:ascii="Times New Roman" w:eastAsia="黑体"/>
          <w:color w:val="auto"/>
          <w:kern w:val="10"/>
          <w:szCs w:val="21"/>
        </w:rPr>
        <w:t xml:space="preserve"> 工作内容</w:t>
      </w:r>
      <w:r>
        <w:rPr>
          <w:rFonts w:ascii="Times New Roman" w:eastAsia="黑体"/>
          <w:color w:val="auto"/>
          <w:szCs w:val="21"/>
        </w:rPr>
        <w:tab/>
      </w:r>
      <w:r>
        <w:rPr>
          <w:rFonts w:ascii="Times New Roman" w:eastAsia="黑体"/>
          <w:color w:val="auto"/>
          <w:szCs w:val="21"/>
        </w:rPr>
        <w:fldChar w:fldCharType="begin"/>
      </w:r>
      <w:r>
        <w:rPr>
          <w:rFonts w:ascii="Times New Roman" w:eastAsia="黑体"/>
          <w:color w:val="auto"/>
          <w:szCs w:val="21"/>
        </w:rPr>
        <w:instrText xml:space="preserve"> PAGEREF _Toc18747 </w:instrText>
      </w:r>
      <w:r>
        <w:rPr>
          <w:rFonts w:ascii="Times New Roman" w:eastAsia="黑体"/>
          <w:color w:val="auto"/>
          <w:szCs w:val="21"/>
        </w:rPr>
        <w:fldChar w:fldCharType="separate"/>
      </w:r>
      <w:r>
        <w:rPr>
          <w:rFonts w:ascii="Times New Roman" w:eastAsia="黑体"/>
          <w:color w:val="auto"/>
          <w:szCs w:val="21"/>
        </w:rPr>
        <w:t>6</w:t>
      </w:r>
      <w:r>
        <w:rPr>
          <w:rFonts w:ascii="Times New Roman" w:eastAsia="黑体"/>
          <w:color w:val="auto"/>
          <w:szCs w:val="21"/>
        </w:rPr>
        <w:fldChar w:fldCharType="end"/>
      </w:r>
      <w:r>
        <w:rPr>
          <w:rFonts w:ascii="Times New Roman" w:eastAsia="黑体"/>
          <w:color w:val="auto"/>
          <w:szCs w:val="21"/>
        </w:rPr>
        <w:fldChar w:fldCharType="end"/>
      </w:r>
    </w:p>
    <w:p>
      <w:pPr>
        <w:pStyle w:val="24"/>
        <w:tabs>
          <w:tab w:val="right" w:leader="dot" w:pos="9027"/>
        </w:tabs>
        <w:spacing w:line="360" w:lineRule="auto"/>
        <w:rPr>
          <w:rFonts w:ascii="Times New Roman" w:eastAsia="黑体"/>
          <w:color w:val="auto"/>
          <w:szCs w:val="21"/>
        </w:rPr>
      </w:pPr>
      <w:r>
        <w:rPr>
          <w:color w:val="auto"/>
        </w:rPr>
        <w:fldChar w:fldCharType="begin"/>
      </w:r>
      <w:r>
        <w:rPr>
          <w:color w:val="auto"/>
        </w:rPr>
        <w:instrText xml:space="preserve"> HYPERLINK \l "_Toc410" </w:instrText>
      </w:r>
      <w:r>
        <w:rPr>
          <w:color w:val="auto"/>
        </w:rPr>
        <w:fldChar w:fldCharType="separate"/>
      </w:r>
      <w:r>
        <w:rPr>
          <w:rFonts w:ascii="Times New Roman" w:eastAsia="黑体"/>
          <w:color w:val="auto"/>
          <w:szCs w:val="21"/>
        </w:rPr>
        <w:t>8</w:t>
      </w:r>
      <w:r>
        <w:rPr>
          <w:rFonts w:ascii="Times New Roman" w:eastAsia="黑体"/>
          <w:color w:val="auto"/>
          <w:kern w:val="10"/>
          <w:szCs w:val="21"/>
        </w:rPr>
        <w:t xml:space="preserve"> 档案管理</w:t>
      </w:r>
      <w:r>
        <w:rPr>
          <w:rFonts w:ascii="Times New Roman" w:eastAsia="黑体"/>
          <w:color w:val="auto"/>
          <w:szCs w:val="21"/>
        </w:rPr>
        <w:tab/>
      </w:r>
      <w:r>
        <w:rPr>
          <w:rFonts w:ascii="Times New Roman" w:eastAsia="黑体"/>
          <w:color w:val="auto"/>
          <w:szCs w:val="21"/>
        </w:rPr>
        <w:fldChar w:fldCharType="begin"/>
      </w:r>
      <w:r>
        <w:rPr>
          <w:rFonts w:ascii="Times New Roman" w:eastAsia="黑体"/>
          <w:color w:val="auto"/>
          <w:szCs w:val="21"/>
        </w:rPr>
        <w:instrText xml:space="preserve"> PAGEREF _Toc410 </w:instrText>
      </w:r>
      <w:r>
        <w:rPr>
          <w:rFonts w:ascii="Times New Roman" w:eastAsia="黑体"/>
          <w:color w:val="auto"/>
          <w:szCs w:val="21"/>
        </w:rPr>
        <w:fldChar w:fldCharType="separate"/>
      </w:r>
      <w:r>
        <w:rPr>
          <w:rFonts w:ascii="Times New Roman" w:eastAsia="黑体"/>
          <w:color w:val="auto"/>
          <w:szCs w:val="21"/>
        </w:rPr>
        <w:t>18</w:t>
      </w:r>
      <w:r>
        <w:rPr>
          <w:rFonts w:ascii="Times New Roman" w:eastAsia="黑体"/>
          <w:color w:val="auto"/>
          <w:szCs w:val="21"/>
        </w:rPr>
        <w:fldChar w:fldCharType="end"/>
      </w:r>
      <w:r>
        <w:rPr>
          <w:rFonts w:ascii="Times New Roman" w:eastAsia="黑体"/>
          <w:color w:val="auto"/>
          <w:szCs w:val="21"/>
        </w:rPr>
        <w:fldChar w:fldCharType="end"/>
      </w:r>
    </w:p>
    <w:p>
      <w:pPr>
        <w:pStyle w:val="24"/>
        <w:tabs>
          <w:tab w:val="right" w:leader="dot" w:pos="9027"/>
        </w:tabs>
        <w:spacing w:line="360" w:lineRule="auto"/>
        <w:rPr>
          <w:rFonts w:ascii="Times New Roman" w:eastAsia="黑体"/>
          <w:color w:val="auto"/>
          <w:szCs w:val="21"/>
        </w:rPr>
      </w:pPr>
      <w:r>
        <w:rPr>
          <w:color w:val="auto"/>
        </w:rPr>
        <w:fldChar w:fldCharType="begin"/>
      </w:r>
      <w:r>
        <w:rPr>
          <w:color w:val="auto"/>
        </w:rPr>
        <w:instrText xml:space="preserve"> HYPERLINK \l "_Toc23479" </w:instrText>
      </w:r>
      <w:r>
        <w:rPr>
          <w:color w:val="auto"/>
        </w:rPr>
        <w:fldChar w:fldCharType="separate"/>
      </w:r>
      <w:r>
        <w:rPr>
          <w:rFonts w:ascii="Times New Roman" w:eastAsia="黑体"/>
          <w:color w:val="auto"/>
          <w:szCs w:val="21"/>
        </w:rPr>
        <w:t>附1 环境监理工作相关文件示例</w:t>
      </w:r>
      <w:r>
        <w:rPr>
          <w:rFonts w:ascii="Times New Roman" w:eastAsia="黑体"/>
          <w:color w:val="auto"/>
          <w:szCs w:val="21"/>
        </w:rPr>
        <w:tab/>
      </w:r>
      <w:r>
        <w:rPr>
          <w:rFonts w:ascii="Times New Roman" w:eastAsia="黑体"/>
          <w:color w:val="auto"/>
          <w:szCs w:val="21"/>
        </w:rPr>
        <w:fldChar w:fldCharType="begin"/>
      </w:r>
      <w:r>
        <w:rPr>
          <w:rFonts w:ascii="Times New Roman" w:eastAsia="黑体"/>
          <w:color w:val="auto"/>
          <w:szCs w:val="21"/>
        </w:rPr>
        <w:instrText xml:space="preserve"> PAGEREF _Toc23479 </w:instrText>
      </w:r>
      <w:r>
        <w:rPr>
          <w:rFonts w:ascii="Times New Roman" w:eastAsia="黑体"/>
          <w:color w:val="auto"/>
          <w:szCs w:val="21"/>
        </w:rPr>
        <w:fldChar w:fldCharType="separate"/>
      </w:r>
      <w:r>
        <w:rPr>
          <w:rFonts w:ascii="Times New Roman" w:eastAsia="黑体"/>
          <w:color w:val="auto"/>
          <w:szCs w:val="21"/>
        </w:rPr>
        <w:t>19</w:t>
      </w:r>
      <w:r>
        <w:rPr>
          <w:rFonts w:ascii="Times New Roman" w:eastAsia="黑体"/>
          <w:color w:val="auto"/>
          <w:szCs w:val="21"/>
        </w:rPr>
        <w:fldChar w:fldCharType="end"/>
      </w:r>
      <w:r>
        <w:rPr>
          <w:rFonts w:ascii="Times New Roman" w:eastAsia="黑体"/>
          <w:color w:val="auto"/>
          <w:szCs w:val="21"/>
        </w:rPr>
        <w:fldChar w:fldCharType="end"/>
      </w:r>
    </w:p>
    <w:p>
      <w:pPr>
        <w:pStyle w:val="24"/>
        <w:tabs>
          <w:tab w:val="right" w:leader="dot" w:pos="9027"/>
        </w:tabs>
        <w:spacing w:line="360" w:lineRule="auto"/>
        <w:rPr>
          <w:rFonts w:ascii="Times New Roman" w:eastAsia="黑体"/>
          <w:color w:val="auto"/>
          <w:szCs w:val="21"/>
        </w:rPr>
      </w:pPr>
      <w:r>
        <w:rPr>
          <w:color w:val="auto"/>
        </w:rPr>
        <w:fldChar w:fldCharType="begin"/>
      </w:r>
      <w:r>
        <w:rPr>
          <w:color w:val="auto"/>
        </w:rPr>
        <w:instrText xml:space="preserve"> HYPERLINK \l "_Toc18532" </w:instrText>
      </w:r>
      <w:r>
        <w:rPr>
          <w:color w:val="auto"/>
        </w:rPr>
        <w:fldChar w:fldCharType="separate"/>
      </w:r>
      <w:r>
        <w:rPr>
          <w:rFonts w:ascii="Times New Roman" w:eastAsia="黑体"/>
          <w:color w:val="auto"/>
          <w:szCs w:val="21"/>
        </w:rPr>
        <w:t>附2 环境监理方案编制大纲</w:t>
      </w:r>
      <w:r>
        <w:rPr>
          <w:rFonts w:ascii="Times New Roman" w:eastAsia="黑体"/>
          <w:color w:val="auto"/>
          <w:szCs w:val="21"/>
        </w:rPr>
        <w:tab/>
      </w:r>
      <w:r>
        <w:rPr>
          <w:rFonts w:ascii="Times New Roman" w:eastAsia="黑体"/>
          <w:color w:val="auto"/>
          <w:szCs w:val="21"/>
        </w:rPr>
        <w:fldChar w:fldCharType="begin"/>
      </w:r>
      <w:r>
        <w:rPr>
          <w:rFonts w:ascii="Times New Roman" w:eastAsia="黑体"/>
          <w:color w:val="auto"/>
          <w:szCs w:val="21"/>
        </w:rPr>
        <w:instrText xml:space="preserve"> PAGEREF _Toc18532 </w:instrText>
      </w:r>
      <w:r>
        <w:rPr>
          <w:rFonts w:ascii="Times New Roman" w:eastAsia="黑体"/>
          <w:color w:val="auto"/>
          <w:szCs w:val="21"/>
        </w:rPr>
        <w:fldChar w:fldCharType="separate"/>
      </w:r>
      <w:r>
        <w:rPr>
          <w:rFonts w:ascii="Times New Roman" w:eastAsia="黑体"/>
          <w:color w:val="auto"/>
          <w:szCs w:val="21"/>
        </w:rPr>
        <w:t>26</w:t>
      </w:r>
      <w:r>
        <w:rPr>
          <w:rFonts w:ascii="Times New Roman" w:eastAsia="黑体"/>
          <w:color w:val="auto"/>
          <w:szCs w:val="21"/>
        </w:rPr>
        <w:fldChar w:fldCharType="end"/>
      </w:r>
      <w:r>
        <w:rPr>
          <w:rFonts w:ascii="Times New Roman" w:eastAsia="黑体"/>
          <w:color w:val="auto"/>
          <w:szCs w:val="21"/>
        </w:rPr>
        <w:fldChar w:fldCharType="end"/>
      </w:r>
    </w:p>
    <w:p>
      <w:pPr>
        <w:pStyle w:val="24"/>
        <w:tabs>
          <w:tab w:val="right" w:leader="dot" w:pos="9027"/>
        </w:tabs>
        <w:spacing w:line="360" w:lineRule="auto"/>
        <w:rPr>
          <w:rFonts w:ascii="Times New Roman" w:eastAsia="黑体"/>
          <w:color w:val="auto"/>
          <w:szCs w:val="21"/>
        </w:rPr>
      </w:pPr>
      <w:r>
        <w:rPr>
          <w:color w:val="auto"/>
        </w:rPr>
        <w:fldChar w:fldCharType="begin"/>
      </w:r>
      <w:r>
        <w:rPr>
          <w:color w:val="auto"/>
        </w:rPr>
        <w:instrText xml:space="preserve"> HYPERLINK \l "_Toc17219" </w:instrText>
      </w:r>
      <w:r>
        <w:rPr>
          <w:color w:val="auto"/>
        </w:rPr>
        <w:fldChar w:fldCharType="separate"/>
      </w:r>
      <w:r>
        <w:rPr>
          <w:rFonts w:ascii="Times New Roman" w:eastAsia="黑体"/>
          <w:color w:val="auto"/>
          <w:szCs w:val="21"/>
        </w:rPr>
        <w:t>附3 环境监理要点</w:t>
      </w:r>
      <w:r>
        <w:rPr>
          <w:rFonts w:ascii="Times New Roman" w:eastAsia="黑体"/>
          <w:color w:val="auto"/>
          <w:szCs w:val="21"/>
        </w:rPr>
        <w:tab/>
      </w:r>
      <w:r>
        <w:rPr>
          <w:rFonts w:ascii="Times New Roman" w:eastAsia="黑体"/>
          <w:color w:val="auto"/>
          <w:szCs w:val="21"/>
        </w:rPr>
        <w:fldChar w:fldCharType="begin"/>
      </w:r>
      <w:r>
        <w:rPr>
          <w:rFonts w:ascii="Times New Roman" w:eastAsia="黑体"/>
          <w:color w:val="auto"/>
          <w:szCs w:val="21"/>
        </w:rPr>
        <w:instrText xml:space="preserve"> PAGEREF _Toc17219 </w:instrText>
      </w:r>
      <w:r>
        <w:rPr>
          <w:rFonts w:ascii="Times New Roman" w:eastAsia="黑体"/>
          <w:color w:val="auto"/>
          <w:szCs w:val="21"/>
        </w:rPr>
        <w:fldChar w:fldCharType="separate"/>
      </w:r>
      <w:r>
        <w:rPr>
          <w:rFonts w:ascii="Times New Roman" w:eastAsia="黑体"/>
          <w:color w:val="auto"/>
          <w:szCs w:val="21"/>
        </w:rPr>
        <w:t>27</w:t>
      </w:r>
      <w:r>
        <w:rPr>
          <w:rFonts w:ascii="Times New Roman" w:eastAsia="黑体"/>
          <w:color w:val="auto"/>
          <w:szCs w:val="21"/>
        </w:rPr>
        <w:fldChar w:fldCharType="end"/>
      </w:r>
      <w:r>
        <w:rPr>
          <w:rFonts w:ascii="Times New Roman" w:eastAsia="黑体"/>
          <w:color w:val="auto"/>
          <w:szCs w:val="21"/>
        </w:rPr>
        <w:fldChar w:fldCharType="end"/>
      </w:r>
    </w:p>
    <w:p>
      <w:pPr>
        <w:pStyle w:val="24"/>
        <w:tabs>
          <w:tab w:val="right" w:leader="dot" w:pos="9027"/>
        </w:tabs>
        <w:spacing w:line="360" w:lineRule="auto"/>
        <w:rPr>
          <w:rFonts w:ascii="Times New Roman" w:eastAsia="黑体"/>
          <w:color w:val="auto"/>
          <w:szCs w:val="21"/>
        </w:rPr>
      </w:pPr>
      <w:r>
        <w:rPr>
          <w:color w:val="auto"/>
        </w:rPr>
        <w:fldChar w:fldCharType="begin"/>
      </w:r>
      <w:r>
        <w:rPr>
          <w:color w:val="auto"/>
        </w:rPr>
        <w:instrText xml:space="preserve"> HYPERLINK \l "_Toc14886" </w:instrText>
      </w:r>
      <w:r>
        <w:rPr>
          <w:color w:val="auto"/>
        </w:rPr>
        <w:fldChar w:fldCharType="separate"/>
      </w:r>
      <w:r>
        <w:rPr>
          <w:rFonts w:ascii="Times New Roman" w:eastAsia="黑体"/>
          <w:color w:val="auto"/>
          <w:szCs w:val="21"/>
        </w:rPr>
        <w:t>附4 环境监理总结报告编制大纲</w:t>
      </w:r>
      <w:r>
        <w:rPr>
          <w:rFonts w:ascii="Times New Roman" w:eastAsia="黑体"/>
          <w:color w:val="auto"/>
          <w:szCs w:val="21"/>
        </w:rPr>
        <w:tab/>
      </w:r>
      <w:r>
        <w:rPr>
          <w:rFonts w:ascii="Times New Roman" w:eastAsia="黑体"/>
          <w:color w:val="auto"/>
          <w:szCs w:val="21"/>
        </w:rPr>
        <w:fldChar w:fldCharType="begin"/>
      </w:r>
      <w:r>
        <w:rPr>
          <w:rFonts w:ascii="Times New Roman" w:eastAsia="黑体"/>
          <w:color w:val="auto"/>
          <w:szCs w:val="21"/>
        </w:rPr>
        <w:instrText xml:space="preserve"> PAGEREF _Toc14886 </w:instrText>
      </w:r>
      <w:r>
        <w:rPr>
          <w:rFonts w:ascii="Times New Roman" w:eastAsia="黑体"/>
          <w:color w:val="auto"/>
          <w:szCs w:val="21"/>
        </w:rPr>
        <w:fldChar w:fldCharType="separate"/>
      </w:r>
      <w:r>
        <w:rPr>
          <w:rFonts w:ascii="Times New Roman" w:eastAsia="黑体"/>
          <w:color w:val="auto"/>
          <w:szCs w:val="21"/>
        </w:rPr>
        <w:t>31</w:t>
      </w:r>
      <w:r>
        <w:rPr>
          <w:rFonts w:ascii="Times New Roman" w:eastAsia="黑体"/>
          <w:color w:val="auto"/>
          <w:szCs w:val="21"/>
        </w:rPr>
        <w:fldChar w:fldCharType="end"/>
      </w:r>
      <w:r>
        <w:rPr>
          <w:rFonts w:ascii="Times New Roman" w:eastAsia="黑体"/>
          <w:color w:val="auto"/>
          <w:szCs w:val="21"/>
        </w:rPr>
        <w:fldChar w:fldCharType="end"/>
      </w:r>
    </w:p>
    <w:p>
      <w:pPr>
        <w:pStyle w:val="24"/>
        <w:tabs>
          <w:tab w:val="left" w:pos="368"/>
          <w:tab w:val="right" w:leader="dot" w:pos="9345"/>
        </w:tabs>
        <w:spacing w:line="360" w:lineRule="auto"/>
        <w:rPr>
          <w:rFonts w:ascii="Times New Roman" w:eastAsia="黑体"/>
          <w:color w:val="auto"/>
          <w:sz w:val="24"/>
          <w:szCs w:val="24"/>
        </w:rPr>
      </w:pPr>
      <w:r>
        <w:rPr>
          <w:rFonts w:ascii="Times New Roman" w:eastAsia="黑体"/>
          <w:color w:val="auto"/>
          <w:szCs w:val="21"/>
        </w:rPr>
        <w:fldChar w:fldCharType="end"/>
      </w:r>
    </w:p>
    <w:p>
      <w:pPr>
        <w:numPr>
          <w:ilvl w:val="0"/>
          <w:numId w:val="1"/>
        </w:numPr>
        <w:spacing w:line="360" w:lineRule="auto"/>
        <w:jc w:val="center"/>
        <w:outlineLvl w:val="0"/>
        <w:rPr>
          <w:rFonts w:ascii="Times New Roman" w:hAnsi="Times New Roman" w:cs="Times New Roman"/>
          <w:b/>
          <w:color w:val="auto"/>
          <w:sz w:val="28"/>
          <w:szCs w:val="28"/>
        </w:rPr>
        <w:sectPr>
          <w:footerReference r:id="rId5" w:type="default"/>
          <w:pgSz w:w="11907" w:h="16839"/>
          <w:pgMar w:top="1440" w:right="1440" w:bottom="1440" w:left="1440" w:header="1418" w:footer="851" w:gutter="0"/>
          <w:pgNumType w:fmt="upperRoman" w:start="1"/>
          <w:cols w:space="720" w:num="1"/>
          <w:docGrid w:type="lines" w:linePitch="312" w:charSpace="0"/>
        </w:sectPr>
      </w:pPr>
    </w:p>
    <w:p>
      <w:pPr>
        <w:numPr>
          <w:ilvl w:val="0"/>
          <w:numId w:val="1"/>
        </w:numPr>
        <w:spacing w:line="360" w:lineRule="auto"/>
        <w:jc w:val="center"/>
        <w:outlineLvl w:val="0"/>
        <w:rPr>
          <w:rFonts w:ascii="Times New Roman" w:hAnsi="Times New Roman" w:eastAsia="黑体" w:cs="Times New Roman"/>
          <w:b/>
          <w:color w:val="auto"/>
          <w:sz w:val="28"/>
          <w:szCs w:val="28"/>
        </w:rPr>
      </w:pPr>
      <w:bookmarkStart w:id="10" w:name="_Toc501121113"/>
      <w:bookmarkStart w:id="11" w:name="_Toc500177493"/>
      <w:bookmarkStart w:id="12" w:name="_Toc23871"/>
      <w:bookmarkStart w:id="13" w:name="_Toc512528984"/>
      <w:bookmarkStart w:id="14" w:name="_Toc498693170"/>
      <w:bookmarkStart w:id="15" w:name="_Toc498694299"/>
      <w:bookmarkStart w:id="16" w:name="_Toc500939494"/>
      <w:r>
        <w:rPr>
          <w:rFonts w:ascii="Times New Roman" w:hAnsi="Times New Roman" w:eastAsia="黑体" w:cs="Times New Roman"/>
          <w:b/>
          <w:color w:val="auto"/>
          <w:sz w:val="28"/>
          <w:szCs w:val="28"/>
        </w:rPr>
        <w:t>前    言</w:t>
      </w:r>
      <w:bookmarkEnd w:id="10"/>
      <w:bookmarkEnd w:id="11"/>
      <w:bookmarkEnd w:id="12"/>
      <w:bookmarkEnd w:id="13"/>
      <w:bookmarkEnd w:id="14"/>
      <w:bookmarkEnd w:id="15"/>
      <w:bookmarkEnd w:id="16"/>
    </w:p>
    <w:p>
      <w:pPr>
        <w:spacing w:line="360" w:lineRule="auto"/>
        <w:ind w:firstLine="560"/>
        <w:rPr>
          <w:rFonts w:ascii="Times New Roman" w:hAnsi="Times New Roman" w:eastAsia="宋体" w:cs="Times New Roman"/>
          <w:color w:val="auto"/>
          <w:sz w:val="24"/>
        </w:rPr>
      </w:pPr>
      <w:r>
        <w:rPr>
          <w:rFonts w:ascii="Times New Roman" w:hAnsi="Times New Roman" w:eastAsia="宋体" w:cs="Times New Roman"/>
          <w:color w:val="auto"/>
          <w:sz w:val="24"/>
        </w:rPr>
        <w:t>为贯彻落实《中华人民共和国土壤污染防治法》《土壤污染防治行动计划》《污染地块土壤环境管理办法（试行）》《广东省实施&lt;中华人民共和国土壤污染防治法&gt;办法》《广东省土壤污染防治行动计划实施方案》等</w:t>
      </w:r>
      <w:r>
        <w:rPr>
          <w:rFonts w:hint="eastAsia" w:ascii="Times New Roman" w:hAnsi="Times New Roman" w:eastAsia="宋体" w:cs="Times New Roman"/>
          <w:color w:val="auto"/>
          <w:sz w:val="24"/>
          <w:lang w:eastAsia="zh-CN"/>
        </w:rPr>
        <w:t>有</w:t>
      </w:r>
      <w:r>
        <w:rPr>
          <w:rFonts w:ascii="Times New Roman" w:hAnsi="Times New Roman" w:eastAsia="宋体" w:cs="Times New Roman"/>
          <w:color w:val="auto"/>
          <w:sz w:val="24"/>
        </w:rPr>
        <w:t>关要求，指导建设用地土壤污染修复工程环境监理工作，防控土壤污染修复工程实施过程中的二次污染，保障人体健康、保护生态环境，制定本指南。</w:t>
      </w:r>
    </w:p>
    <w:p>
      <w:pPr>
        <w:spacing w:line="360" w:lineRule="auto"/>
        <w:ind w:firstLine="560"/>
        <w:rPr>
          <w:rFonts w:ascii="Times New Roman" w:hAnsi="Times New Roman" w:eastAsia="宋体" w:cs="Times New Roman"/>
          <w:color w:val="auto"/>
          <w:sz w:val="24"/>
        </w:rPr>
      </w:pPr>
      <w:r>
        <w:rPr>
          <w:rFonts w:ascii="Times New Roman" w:hAnsi="Times New Roman" w:eastAsia="宋体" w:cs="Times New Roman"/>
          <w:color w:val="auto"/>
          <w:sz w:val="24"/>
        </w:rPr>
        <w:t>本指南参照国内外环境监理的相关经验，结合广东省建设用地土壤污染修复工程的实际需求，提出了建设用地土壤污染修复工程环境监理的工作目的与原则、程序、方法、内容</w:t>
      </w:r>
      <w:r>
        <w:rPr>
          <w:rFonts w:hint="eastAsia" w:ascii="Times New Roman" w:hAnsi="Times New Roman" w:eastAsia="宋体" w:cs="Times New Roman"/>
          <w:color w:val="auto"/>
          <w:sz w:val="24"/>
        </w:rPr>
        <w:t>、档案管理和监理要点等</w:t>
      </w:r>
      <w:r>
        <w:rPr>
          <w:rFonts w:ascii="Times New Roman" w:hAnsi="Times New Roman" w:eastAsia="宋体" w:cs="Times New Roman"/>
          <w:color w:val="auto"/>
          <w:sz w:val="24"/>
        </w:rPr>
        <w:t>。</w:t>
      </w:r>
    </w:p>
    <w:p>
      <w:pPr>
        <w:spacing w:line="360" w:lineRule="auto"/>
        <w:ind w:firstLine="420"/>
        <w:rPr>
          <w:rFonts w:ascii="Times New Roman" w:hAnsi="Times New Roman" w:cs="Times New Roman"/>
          <w:color w:val="auto"/>
        </w:rPr>
      </w:pPr>
    </w:p>
    <w:p>
      <w:pPr>
        <w:spacing w:line="360" w:lineRule="auto"/>
        <w:ind w:firstLine="420"/>
        <w:rPr>
          <w:rFonts w:ascii="Times New Roman" w:hAnsi="Times New Roman" w:cs="Times New Roman"/>
          <w:color w:val="auto"/>
        </w:rPr>
      </w:pPr>
    </w:p>
    <w:p>
      <w:pPr>
        <w:spacing w:line="360" w:lineRule="auto"/>
        <w:ind w:firstLine="437"/>
        <w:rPr>
          <w:rFonts w:ascii="Times New Roman" w:hAnsi="Times New Roman" w:cs="Times New Roman"/>
          <w:color w:val="auto"/>
        </w:rPr>
        <w:sectPr>
          <w:pgSz w:w="11907" w:h="16839"/>
          <w:pgMar w:top="1440" w:right="1440" w:bottom="1440" w:left="1440" w:header="1418" w:footer="851" w:gutter="0"/>
          <w:pgNumType w:fmt="upperRoman"/>
          <w:cols w:space="720" w:num="1"/>
          <w:docGrid w:type="lines" w:linePitch="312" w:charSpace="0"/>
        </w:sectPr>
      </w:pPr>
    </w:p>
    <w:bookmarkEnd w:id="9"/>
    <w:p>
      <w:pPr>
        <w:spacing w:line="360" w:lineRule="auto"/>
        <w:jc w:val="center"/>
        <w:rPr>
          <w:rFonts w:ascii="Times New Roman" w:hAnsi="Times New Roman" w:eastAsia="黑体" w:cs="Times New Roman"/>
          <w:color w:val="auto"/>
          <w:sz w:val="32"/>
        </w:rPr>
      </w:pPr>
      <w:bookmarkStart w:id="17" w:name="SectionMark4"/>
      <w:r>
        <w:rPr>
          <w:rFonts w:ascii="Times New Roman" w:hAnsi="Times New Roman" w:eastAsia="黑体" w:cs="Times New Roman"/>
          <w:color w:val="auto"/>
          <w:sz w:val="32"/>
        </w:rPr>
        <w:t>建设用地土壤污染修复工程环境监理技术指南</w:t>
      </w:r>
    </w:p>
    <w:p>
      <w:pPr>
        <w:pStyle w:val="2"/>
        <w:keepLines w:val="0"/>
        <w:numPr>
          <w:ilvl w:val="1"/>
          <w:numId w:val="9"/>
        </w:numPr>
        <w:snapToGrid w:val="0"/>
        <w:spacing w:before="312" w:beforeLines="100" w:after="156" w:afterLines="50" w:line="360" w:lineRule="auto"/>
        <w:ind w:right="210" w:rightChars="100"/>
        <w:rPr>
          <w:rFonts w:eastAsia="黑体"/>
          <w:b w:val="0"/>
          <w:bCs w:val="0"/>
          <w:color w:val="auto"/>
          <w:kern w:val="10"/>
          <w:sz w:val="24"/>
          <w:szCs w:val="24"/>
        </w:rPr>
      </w:pPr>
      <w:bookmarkStart w:id="18" w:name="_Toc512528985"/>
      <w:bookmarkStart w:id="19" w:name="_Toc14552"/>
      <w:r>
        <w:rPr>
          <w:rFonts w:eastAsia="黑体"/>
          <w:b w:val="0"/>
          <w:bCs w:val="0"/>
          <w:color w:val="auto"/>
          <w:kern w:val="10"/>
          <w:sz w:val="24"/>
          <w:szCs w:val="24"/>
        </w:rPr>
        <w:t>适用范围</w:t>
      </w:r>
      <w:bookmarkEnd w:id="18"/>
      <w:bookmarkEnd w:id="19"/>
    </w:p>
    <w:p>
      <w:pPr>
        <w:spacing w:line="360" w:lineRule="auto"/>
        <w:ind w:firstLine="420"/>
        <w:rPr>
          <w:rFonts w:ascii="Times New Roman" w:hAnsi="Times New Roman" w:cs="Times New Roman"/>
          <w:color w:val="auto"/>
          <w:sz w:val="24"/>
          <w:szCs w:val="24"/>
        </w:rPr>
      </w:pPr>
      <w:r>
        <w:rPr>
          <w:rFonts w:ascii="Times New Roman" w:hAnsi="Times New Roman" w:cs="Times New Roman"/>
          <w:color w:val="auto"/>
          <w:sz w:val="24"/>
          <w:szCs w:val="24"/>
        </w:rPr>
        <w:t>本指南提出了建设用地土壤污染修复工程环境监理的</w:t>
      </w:r>
      <w:bookmarkStart w:id="20" w:name="_Hlk503797077"/>
      <w:r>
        <w:rPr>
          <w:rFonts w:ascii="Times New Roman" w:hAnsi="Times New Roman" w:cs="Times New Roman"/>
          <w:color w:val="auto"/>
          <w:sz w:val="24"/>
          <w:szCs w:val="24"/>
        </w:rPr>
        <w:t>工作目的与原则、程序、方法、内容、</w:t>
      </w:r>
      <w:bookmarkEnd w:id="20"/>
      <w:r>
        <w:rPr>
          <w:rFonts w:ascii="Times New Roman" w:hAnsi="Times New Roman" w:cs="Times New Roman"/>
          <w:color w:val="auto"/>
          <w:sz w:val="24"/>
          <w:szCs w:val="24"/>
        </w:rPr>
        <w:t>档案管理</w:t>
      </w:r>
      <w:r>
        <w:rPr>
          <w:rFonts w:hint="eastAsia" w:ascii="Times New Roman" w:hAnsi="Times New Roman" w:cs="Times New Roman"/>
          <w:color w:val="auto"/>
          <w:sz w:val="24"/>
          <w:szCs w:val="24"/>
        </w:rPr>
        <w:t>和</w:t>
      </w:r>
      <w:r>
        <w:rPr>
          <w:rFonts w:hint="eastAsia" w:ascii="Times New Roman" w:hAnsi="Times New Roman" w:eastAsia="宋体" w:cs="Times New Roman"/>
          <w:color w:val="auto"/>
          <w:sz w:val="24"/>
        </w:rPr>
        <w:t>监理要点等</w:t>
      </w:r>
      <w:r>
        <w:rPr>
          <w:rFonts w:ascii="Times New Roman" w:hAnsi="Times New Roman" w:cs="Times New Roman"/>
          <w:color w:val="auto"/>
          <w:sz w:val="24"/>
          <w:szCs w:val="24"/>
        </w:rPr>
        <w:t>。</w:t>
      </w:r>
    </w:p>
    <w:p>
      <w:pPr>
        <w:spacing w:line="360" w:lineRule="auto"/>
        <w:ind w:firstLine="420"/>
        <w:rPr>
          <w:rFonts w:ascii="Times New Roman" w:hAnsi="Times New Roman" w:cs="Times New Roman"/>
          <w:color w:val="auto"/>
          <w:sz w:val="24"/>
          <w:szCs w:val="24"/>
        </w:rPr>
      </w:pPr>
      <w:r>
        <w:rPr>
          <w:rFonts w:ascii="Times New Roman" w:hAnsi="Times New Roman" w:cs="Times New Roman"/>
          <w:color w:val="auto"/>
          <w:sz w:val="24"/>
          <w:szCs w:val="24"/>
        </w:rPr>
        <w:t>本指南适用于建设用地土壤污染修复工程实施过程中的环境监理。</w:t>
      </w:r>
    </w:p>
    <w:p>
      <w:pPr>
        <w:spacing w:line="360" w:lineRule="auto"/>
        <w:ind w:firstLine="420"/>
        <w:rPr>
          <w:rFonts w:ascii="Times New Roman" w:hAnsi="Times New Roman" w:cs="Times New Roman"/>
          <w:color w:val="auto"/>
          <w:sz w:val="24"/>
          <w:szCs w:val="24"/>
        </w:rPr>
      </w:pPr>
      <w:r>
        <w:rPr>
          <w:rFonts w:ascii="Times New Roman" w:hAnsi="Times New Roman" w:cs="Times New Roman"/>
          <w:color w:val="auto"/>
          <w:sz w:val="24"/>
          <w:szCs w:val="24"/>
        </w:rPr>
        <w:t>本指南不适用于涉及放射性污染和致病性生物的建设用地土壤污染修复工程环境监理。</w:t>
      </w:r>
    </w:p>
    <w:p>
      <w:pPr>
        <w:pStyle w:val="2"/>
        <w:keepLines w:val="0"/>
        <w:numPr>
          <w:ilvl w:val="1"/>
          <w:numId w:val="9"/>
        </w:numPr>
        <w:snapToGrid w:val="0"/>
        <w:spacing w:before="312" w:beforeLines="100" w:after="156" w:afterLines="50" w:line="360" w:lineRule="auto"/>
        <w:ind w:right="210" w:rightChars="100"/>
        <w:rPr>
          <w:rFonts w:eastAsia="黑体"/>
          <w:b w:val="0"/>
          <w:bCs w:val="0"/>
          <w:color w:val="auto"/>
          <w:kern w:val="10"/>
          <w:sz w:val="24"/>
          <w:szCs w:val="24"/>
        </w:rPr>
      </w:pPr>
      <w:bookmarkStart w:id="21" w:name="_Toc512528986"/>
      <w:bookmarkStart w:id="22" w:name="_Toc23119"/>
      <w:r>
        <w:rPr>
          <w:rFonts w:eastAsia="黑体"/>
          <w:b w:val="0"/>
          <w:bCs w:val="0"/>
          <w:color w:val="auto"/>
          <w:kern w:val="10"/>
          <w:sz w:val="24"/>
          <w:szCs w:val="24"/>
        </w:rPr>
        <w:t>规范性引用文件</w:t>
      </w:r>
      <w:bookmarkEnd w:id="21"/>
      <w:bookmarkEnd w:id="22"/>
    </w:p>
    <w:p>
      <w:pPr>
        <w:spacing w:line="360" w:lineRule="auto"/>
        <w:ind w:firstLine="420"/>
        <w:rPr>
          <w:rFonts w:ascii="Times New Roman" w:hAnsi="Times New Roman" w:cs="Times New Roman"/>
          <w:color w:val="auto"/>
          <w:sz w:val="24"/>
          <w:szCs w:val="24"/>
        </w:rPr>
      </w:pPr>
      <w:r>
        <w:rPr>
          <w:rFonts w:ascii="Times New Roman" w:hAnsi="Times New Roman" w:cs="Times New Roman"/>
          <w:color w:val="auto"/>
          <w:sz w:val="24"/>
          <w:szCs w:val="24"/>
        </w:rPr>
        <w:t>下列文件中的条款通过本指南的引用而成为本指南的条款</w:t>
      </w:r>
      <w:r>
        <w:rPr>
          <w:rFonts w:hint="eastAsia" w:ascii="Times New Roman" w:hAnsi="Times New Roman" w:cs="Times New Roman"/>
          <w:color w:val="auto"/>
          <w:sz w:val="24"/>
          <w:szCs w:val="24"/>
        </w:rPr>
        <w:t>，所</w:t>
      </w:r>
      <w:r>
        <w:rPr>
          <w:rFonts w:ascii="Times New Roman" w:hAnsi="Times New Roman" w:cs="Times New Roman"/>
          <w:color w:val="auto"/>
          <w:sz w:val="24"/>
          <w:szCs w:val="24"/>
        </w:rPr>
        <w:t>引用文件</w:t>
      </w:r>
      <w:r>
        <w:rPr>
          <w:rFonts w:hint="eastAsia" w:ascii="Times New Roman" w:hAnsi="Times New Roman" w:cs="Times New Roman"/>
          <w:color w:val="auto"/>
          <w:sz w:val="24"/>
          <w:szCs w:val="24"/>
        </w:rPr>
        <w:t>的</w:t>
      </w:r>
      <w:r>
        <w:rPr>
          <w:rFonts w:ascii="Times New Roman" w:hAnsi="Times New Roman" w:cs="Times New Roman"/>
          <w:color w:val="auto"/>
          <w:sz w:val="24"/>
          <w:szCs w:val="24"/>
        </w:rPr>
        <w:t>最新版本（包括所有的修改单）适用于本</w:t>
      </w:r>
      <w:r>
        <w:rPr>
          <w:rFonts w:hint="eastAsia" w:ascii="Times New Roman" w:hAnsi="Times New Roman" w:cs="Times New Roman"/>
          <w:color w:val="auto"/>
          <w:sz w:val="24"/>
          <w:szCs w:val="24"/>
        </w:rPr>
        <w:t>指南</w:t>
      </w:r>
      <w:r>
        <w:rPr>
          <w:rFonts w:ascii="Times New Roman" w:hAnsi="Times New Roman" w:cs="Times New Roman"/>
          <w:color w:val="auto"/>
          <w:sz w:val="24"/>
          <w:szCs w:val="24"/>
        </w:rPr>
        <w:t>。</w:t>
      </w:r>
    </w:p>
    <w:p>
      <w:pPr>
        <w:spacing w:line="312" w:lineRule="auto"/>
        <w:ind w:firstLine="420"/>
        <w:rPr>
          <w:rFonts w:ascii="Times New Roman" w:hAnsi="Times New Roman" w:cs="Times New Roman"/>
          <w:color w:val="auto"/>
          <w:sz w:val="24"/>
          <w:szCs w:val="24"/>
        </w:rPr>
      </w:pPr>
      <w:r>
        <w:rPr>
          <w:rFonts w:ascii="Times New Roman" w:hAnsi="Times New Roman" w:cs="Times New Roman"/>
          <w:color w:val="auto"/>
          <w:sz w:val="24"/>
          <w:szCs w:val="24"/>
        </w:rPr>
        <w:t>GB 3095  环境空气质量标准</w:t>
      </w:r>
    </w:p>
    <w:p>
      <w:pPr>
        <w:spacing w:line="312" w:lineRule="auto"/>
        <w:ind w:firstLine="420"/>
        <w:rPr>
          <w:rFonts w:ascii="Times New Roman" w:hAnsi="Times New Roman" w:cs="Times New Roman"/>
          <w:color w:val="auto"/>
          <w:sz w:val="24"/>
          <w:szCs w:val="24"/>
        </w:rPr>
      </w:pPr>
      <w:r>
        <w:rPr>
          <w:rFonts w:hint="eastAsia" w:ascii="Times New Roman" w:hAnsi="Times New Roman" w:cs="Times New Roman"/>
          <w:color w:val="auto"/>
          <w:sz w:val="24"/>
          <w:szCs w:val="24"/>
        </w:rPr>
        <w:t>GB 8978  污水综合排放标准</w:t>
      </w:r>
    </w:p>
    <w:p>
      <w:pPr>
        <w:spacing w:line="312" w:lineRule="auto"/>
        <w:ind w:firstLine="420"/>
        <w:rPr>
          <w:rFonts w:ascii="Times New Roman" w:hAnsi="Times New Roman" w:cs="Times New Roman"/>
          <w:color w:val="auto"/>
          <w:sz w:val="24"/>
          <w:szCs w:val="24"/>
        </w:rPr>
      </w:pPr>
      <w:r>
        <w:rPr>
          <w:rFonts w:ascii="Times New Roman" w:hAnsi="Times New Roman" w:cs="Times New Roman"/>
          <w:color w:val="auto"/>
          <w:sz w:val="24"/>
          <w:szCs w:val="24"/>
        </w:rPr>
        <w:t>GB 12523  建筑施工场界环境噪声排放标准</w:t>
      </w:r>
    </w:p>
    <w:p>
      <w:pPr>
        <w:spacing w:line="312" w:lineRule="auto"/>
        <w:ind w:firstLine="420"/>
        <w:rPr>
          <w:rFonts w:ascii="Times New Roman" w:hAnsi="Times New Roman" w:cs="Times New Roman"/>
          <w:color w:val="auto"/>
          <w:sz w:val="24"/>
          <w:szCs w:val="24"/>
        </w:rPr>
      </w:pPr>
      <w:r>
        <w:rPr>
          <w:rFonts w:ascii="Times New Roman" w:hAnsi="Times New Roman" w:cs="Times New Roman"/>
          <w:color w:val="auto"/>
          <w:sz w:val="24"/>
          <w:szCs w:val="24"/>
        </w:rPr>
        <w:t>GB 14554  恶臭污染物排放标准</w:t>
      </w:r>
    </w:p>
    <w:p>
      <w:pPr>
        <w:spacing w:line="312" w:lineRule="auto"/>
        <w:ind w:firstLine="420"/>
        <w:rPr>
          <w:rFonts w:ascii="Times New Roman" w:hAnsi="Times New Roman" w:cs="Times New Roman"/>
          <w:color w:val="auto"/>
          <w:sz w:val="24"/>
          <w:szCs w:val="24"/>
        </w:rPr>
      </w:pPr>
      <w:r>
        <w:rPr>
          <w:rFonts w:ascii="Times New Roman" w:hAnsi="Times New Roman" w:cs="Times New Roman"/>
          <w:color w:val="auto"/>
          <w:sz w:val="24"/>
          <w:szCs w:val="24"/>
        </w:rPr>
        <w:t>GB/T 14675  空气质量 恶臭的测定 三点比较式臭袋法</w:t>
      </w:r>
    </w:p>
    <w:p>
      <w:pPr>
        <w:spacing w:line="312" w:lineRule="auto"/>
        <w:ind w:firstLine="420"/>
        <w:rPr>
          <w:rFonts w:ascii="Times New Roman" w:hAnsi="Times New Roman" w:cs="Times New Roman"/>
          <w:color w:val="auto"/>
          <w:sz w:val="24"/>
          <w:szCs w:val="24"/>
        </w:rPr>
      </w:pPr>
      <w:r>
        <w:rPr>
          <w:rFonts w:ascii="Times New Roman" w:hAnsi="Times New Roman" w:cs="Times New Roman"/>
          <w:color w:val="auto"/>
          <w:sz w:val="24"/>
          <w:szCs w:val="24"/>
        </w:rPr>
        <w:t>GB/T 16157  固定污染源排气中颗粒物测定与气态污染物采样方法</w:t>
      </w:r>
    </w:p>
    <w:p>
      <w:pPr>
        <w:spacing w:line="312" w:lineRule="auto"/>
        <w:ind w:firstLine="420"/>
        <w:rPr>
          <w:rFonts w:ascii="Times New Roman" w:hAnsi="Times New Roman" w:cs="Times New Roman"/>
          <w:color w:val="auto"/>
          <w:sz w:val="24"/>
          <w:szCs w:val="24"/>
        </w:rPr>
      </w:pPr>
      <w:r>
        <w:rPr>
          <w:rFonts w:ascii="Times New Roman" w:hAnsi="Times New Roman" w:cs="Times New Roman"/>
          <w:color w:val="auto"/>
          <w:sz w:val="24"/>
          <w:szCs w:val="24"/>
        </w:rPr>
        <w:t>GB 16297  大气污染物综合排放标准</w:t>
      </w:r>
    </w:p>
    <w:p>
      <w:pPr>
        <w:spacing w:line="312" w:lineRule="auto"/>
        <w:ind w:firstLine="420"/>
        <w:rPr>
          <w:rFonts w:ascii="Times New Roman" w:hAnsi="Times New Roman" w:cs="Times New Roman"/>
          <w:color w:val="auto"/>
          <w:sz w:val="24"/>
          <w:szCs w:val="24"/>
        </w:rPr>
      </w:pPr>
      <w:r>
        <w:rPr>
          <w:rFonts w:ascii="Times New Roman" w:hAnsi="Times New Roman" w:cs="Times New Roman"/>
          <w:color w:val="auto"/>
          <w:sz w:val="24"/>
          <w:szCs w:val="24"/>
        </w:rPr>
        <w:t>GB 18599  一般工业固体废物贮存、处置场污染控制标准</w:t>
      </w:r>
    </w:p>
    <w:p>
      <w:pPr>
        <w:spacing w:line="312" w:lineRule="auto"/>
        <w:ind w:firstLine="420"/>
        <w:rPr>
          <w:rFonts w:ascii="Times New Roman" w:hAnsi="Times New Roman" w:cs="Times New Roman"/>
          <w:color w:val="auto"/>
          <w:sz w:val="24"/>
          <w:szCs w:val="24"/>
        </w:rPr>
      </w:pPr>
      <w:r>
        <w:rPr>
          <w:rFonts w:ascii="Times New Roman" w:hAnsi="Times New Roman" w:cs="Times New Roman"/>
          <w:color w:val="auto"/>
          <w:sz w:val="24"/>
          <w:szCs w:val="24"/>
        </w:rPr>
        <w:t>GB 18597  危险废物贮存污染控制标准</w:t>
      </w:r>
    </w:p>
    <w:p>
      <w:pPr>
        <w:spacing w:line="312" w:lineRule="auto"/>
        <w:ind w:firstLine="420"/>
        <w:rPr>
          <w:rFonts w:ascii="Times New Roman" w:hAnsi="Times New Roman" w:cs="Times New Roman"/>
          <w:color w:val="auto"/>
          <w:sz w:val="24"/>
          <w:szCs w:val="24"/>
        </w:rPr>
      </w:pPr>
      <w:bookmarkStart w:id="23" w:name="_Hlk44192615"/>
      <w:r>
        <w:rPr>
          <w:rFonts w:hint="eastAsia" w:ascii="Times New Roman" w:hAnsi="Times New Roman" w:cs="Times New Roman"/>
          <w:color w:val="auto"/>
          <w:sz w:val="24"/>
          <w:szCs w:val="24"/>
        </w:rPr>
        <w:t>GB/T 18920</w:t>
      </w:r>
      <w:r>
        <w:rPr>
          <w:rFonts w:ascii="Times New Roman" w:hAnsi="Times New Roman" w:cs="Times New Roman"/>
          <w:color w:val="auto"/>
          <w:sz w:val="24"/>
          <w:szCs w:val="24"/>
        </w:rPr>
        <w:t xml:space="preserve">  </w:t>
      </w:r>
      <w:r>
        <w:rPr>
          <w:rFonts w:hint="eastAsia" w:ascii="Times New Roman" w:hAnsi="Times New Roman" w:cs="Times New Roman"/>
          <w:color w:val="auto"/>
          <w:sz w:val="24"/>
          <w:szCs w:val="24"/>
        </w:rPr>
        <w:t>城市污水再生利用 城市杂用水水质</w:t>
      </w:r>
    </w:p>
    <w:p>
      <w:pPr>
        <w:spacing w:line="312" w:lineRule="auto"/>
        <w:ind w:firstLine="420"/>
        <w:rPr>
          <w:rFonts w:ascii="Times New Roman" w:hAnsi="Times New Roman" w:cs="Times New Roman"/>
          <w:color w:val="auto"/>
          <w:sz w:val="24"/>
          <w:szCs w:val="24"/>
        </w:rPr>
      </w:pPr>
      <w:r>
        <w:rPr>
          <w:rFonts w:ascii="Times New Roman" w:hAnsi="Times New Roman" w:cs="Times New Roman"/>
          <w:color w:val="auto"/>
          <w:sz w:val="24"/>
          <w:szCs w:val="24"/>
        </w:rPr>
        <w:t>GB/T 29639  生产经营单位生产安全事故应急预案编制导则</w:t>
      </w:r>
    </w:p>
    <w:p>
      <w:pPr>
        <w:spacing w:line="312" w:lineRule="auto"/>
        <w:ind w:firstLine="420"/>
        <w:rPr>
          <w:rFonts w:ascii="Times New Roman" w:hAnsi="Times New Roman" w:cs="Times New Roman"/>
          <w:color w:val="auto"/>
          <w:sz w:val="24"/>
          <w:szCs w:val="24"/>
        </w:rPr>
      </w:pPr>
      <w:r>
        <w:rPr>
          <w:rFonts w:hint="eastAsia" w:ascii="Times New Roman" w:hAnsi="Times New Roman" w:cs="Times New Roman"/>
          <w:color w:val="auto"/>
          <w:sz w:val="24"/>
          <w:szCs w:val="24"/>
        </w:rPr>
        <w:t>GB 3096</w:t>
      </w:r>
      <w:r>
        <w:rPr>
          <w:rFonts w:ascii="Times New Roman" w:hAnsi="Times New Roman" w:cs="Times New Roman"/>
          <w:color w:val="auto"/>
          <w:sz w:val="24"/>
          <w:szCs w:val="24"/>
        </w:rPr>
        <w:t xml:space="preserve">  </w:t>
      </w:r>
      <w:r>
        <w:rPr>
          <w:rFonts w:hint="eastAsia" w:ascii="Times New Roman" w:hAnsi="Times New Roman" w:cs="Times New Roman"/>
          <w:color w:val="auto"/>
          <w:sz w:val="24"/>
          <w:szCs w:val="24"/>
        </w:rPr>
        <w:t>声环境质量标准</w:t>
      </w:r>
    </w:p>
    <w:p>
      <w:pPr>
        <w:spacing w:line="312" w:lineRule="auto"/>
        <w:ind w:firstLine="420"/>
        <w:rPr>
          <w:rFonts w:ascii="Times New Roman" w:hAnsi="Times New Roman" w:cs="Times New Roman"/>
          <w:color w:val="auto"/>
          <w:sz w:val="24"/>
          <w:szCs w:val="24"/>
        </w:rPr>
      </w:pPr>
      <w:r>
        <w:rPr>
          <w:rFonts w:hint="eastAsia" w:ascii="Times New Roman" w:hAnsi="Times New Roman" w:cs="Times New Roman"/>
          <w:color w:val="auto"/>
          <w:sz w:val="24"/>
          <w:szCs w:val="24"/>
        </w:rPr>
        <w:t>GB 36600</w:t>
      </w:r>
      <w:r>
        <w:rPr>
          <w:rFonts w:ascii="Times New Roman" w:hAnsi="Times New Roman" w:cs="Times New Roman"/>
          <w:color w:val="auto"/>
          <w:sz w:val="24"/>
          <w:szCs w:val="24"/>
        </w:rPr>
        <w:t xml:space="preserve">  </w:t>
      </w:r>
      <w:r>
        <w:rPr>
          <w:rFonts w:hint="eastAsia" w:ascii="Times New Roman" w:hAnsi="Times New Roman" w:cs="Times New Roman"/>
          <w:color w:val="auto"/>
          <w:sz w:val="24"/>
          <w:szCs w:val="24"/>
        </w:rPr>
        <w:t>建设用地土壤污染风险管控标准</w:t>
      </w:r>
    </w:p>
    <w:p>
      <w:pPr>
        <w:spacing w:line="312" w:lineRule="auto"/>
        <w:ind w:firstLine="420"/>
        <w:rPr>
          <w:rFonts w:ascii="Times New Roman" w:hAnsi="Times New Roman" w:cs="Times New Roman"/>
          <w:color w:val="auto"/>
          <w:sz w:val="24"/>
          <w:szCs w:val="24"/>
        </w:rPr>
      </w:pPr>
      <w:r>
        <w:rPr>
          <w:rFonts w:ascii="Times New Roman" w:hAnsi="Times New Roman" w:cs="Times New Roman"/>
          <w:color w:val="auto"/>
          <w:sz w:val="24"/>
          <w:szCs w:val="24"/>
        </w:rPr>
        <w:t xml:space="preserve">GB </w:t>
      </w:r>
      <w:bookmarkEnd w:id="23"/>
      <w:r>
        <w:rPr>
          <w:rFonts w:ascii="Times New Roman" w:hAnsi="Times New Roman" w:cs="Times New Roman"/>
          <w:color w:val="auto"/>
          <w:sz w:val="24"/>
          <w:szCs w:val="24"/>
        </w:rPr>
        <w:t>37822  挥发性有机物无组织排放控制标准</w:t>
      </w:r>
    </w:p>
    <w:p>
      <w:pPr>
        <w:spacing w:line="312" w:lineRule="auto"/>
        <w:ind w:firstLine="420"/>
        <w:rPr>
          <w:rFonts w:ascii="Times New Roman" w:hAnsi="Times New Roman" w:cs="Times New Roman"/>
          <w:color w:val="auto"/>
          <w:sz w:val="24"/>
          <w:szCs w:val="24"/>
        </w:rPr>
      </w:pPr>
      <w:r>
        <w:rPr>
          <w:rFonts w:ascii="Times New Roman" w:hAnsi="Times New Roman" w:cs="Times New Roman"/>
          <w:color w:val="auto"/>
          <w:sz w:val="24"/>
          <w:szCs w:val="24"/>
        </w:rPr>
        <w:t>GB/T 50319  建设工程监理规范</w:t>
      </w:r>
    </w:p>
    <w:p>
      <w:pPr>
        <w:spacing w:line="312" w:lineRule="auto"/>
        <w:ind w:firstLine="420"/>
        <w:rPr>
          <w:rFonts w:ascii="Times New Roman" w:hAnsi="Times New Roman" w:cs="Times New Roman"/>
          <w:color w:val="auto"/>
          <w:sz w:val="24"/>
          <w:szCs w:val="24"/>
        </w:rPr>
      </w:pPr>
      <w:r>
        <w:rPr>
          <w:rFonts w:ascii="Times New Roman" w:hAnsi="Times New Roman" w:cs="Times New Roman"/>
          <w:color w:val="auto"/>
          <w:sz w:val="24"/>
          <w:szCs w:val="24"/>
        </w:rPr>
        <w:t>HJ 25.2  建设用地土壤污染风险管控和修复监测技术导则</w:t>
      </w:r>
    </w:p>
    <w:p>
      <w:pPr>
        <w:spacing w:line="312" w:lineRule="auto"/>
        <w:ind w:firstLine="420"/>
        <w:rPr>
          <w:rFonts w:ascii="Times New Roman" w:hAnsi="Times New Roman" w:cs="Times New Roman"/>
          <w:color w:val="auto"/>
          <w:sz w:val="24"/>
          <w:szCs w:val="24"/>
        </w:rPr>
      </w:pPr>
      <w:r>
        <w:rPr>
          <w:rFonts w:ascii="Times New Roman" w:hAnsi="Times New Roman" w:cs="Times New Roman"/>
          <w:color w:val="auto"/>
          <w:sz w:val="24"/>
          <w:szCs w:val="24"/>
        </w:rPr>
        <w:t>HJ 25.4  建设用地土壤修复技术导则</w:t>
      </w:r>
    </w:p>
    <w:p>
      <w:pPr>
        <w:spacing w:line="312" w:lineRule="auto"/>
        <w:ind w:firstLine="420"/>
        <w:rPr>
          <w:rFonts w:ascii="Times New Roman" w:hAnsi="Times New Roman" w:cs="Times New Roman"/>
          <w:color w:val="auto"/>
          <w:sz w:val="24"/>
          <w:szCs w:val="24"/>
        </w:rPr>
      </w:pPr>
      <w:r>
        <w:rPr>
          <w:rFonts w:hint="eastAsia" w:ascii="Times New Roman" w:hAnsi="Times New Roman" w:cs="Times New Roman"/>
          <w:color w:val="auto"/>
          <w:sz w:val="24"/>
          <w:szCs w:val="24"/>
        </w:rPr>
        <w:t>HJ 25.5</w:t>
      </w:r>
      <w:r>
        <w:rPr>
          <w:rFonts w:ascii="Times New Roman" w:hAnsi="Times New Roman" w:cs="Times New Roman"/>
          <w:color w:val="auto"/>
          <w:sz w:val="24"/>
          <w:szCs w:val="24"/>
        </w:rPr>
        <w:t xml:space="preserve">  </w:t>
      </w:r>
      <w:r>
        <w:rPr>
          <w:rFonts w:hint="eastAsia" w:ascii="Times New Roman" w:hAnsi="Times New Roman" w:cs="Times New Roman"/>
          <w:color w:val="auto"/>
          <w:sz w:val="24"/>
          <w:szCs w:val="24"/>
        </w:rPr>
        <w:t>污染地块风险管控与土壤修复效果评估技术导则</w:t>
      </w:r>
    </w:p>
    <w:p>
      <w:pPr>
        <w:spacing w:line="312" w:lineRule="auto"/>
        <w:ind w:firstLine="420"/>
        <w:rPr>
          <w:rFonts w:ascii="Times New Roman" w:hAnsi="Times New Roman" w:cs="Times New Roman"/>
          <w:color w:val="auto"/>
          <w:sz w:val="24"/>
          <w:szCs w:val="24"/>
        </w:rPr>
      </w:pPr>
      <w:r>
        <w:rPr>
          <w:rFonts w:hint="eastAsia" w:ascii="Times New Roman" w:hAnsi="Times New Roman" w:cs="Times New Roman"/>
          <w:color w:val="auto"/>
          <w:sz w:val="24"/>
          <w:szCs w:val="24"/>
        </w:rPr>
        <w:t>HJ 25.6</w:t>
      </w:r>
      <w:r>
        <w:rPr>
          <w:rFonts w:ascii="Times New Roman" w:hAnsi="Times New Roman" w:cs="Times New Roman"/>
          <w:color w:val="auto"/>
          <w:sz w:val="24"/>
          <w:szCs w:val="24"/>
        </w:rPr>
        <w:t xml:space="preserve">  </w:t>
      </w:r>
      <w:r>
        <w:rPr>
          <w:rFonts w:hint="eastAsia" w:ascii="Times New Roman" w:hAnsi="Times New Roman" w:cs="Times New Roman"/>
          <w:color w:val="auto"/>
          <w:sz w:val="24"/>
          <w:szCs w:val="24"/>
        </w:rPr>
        <w:t>污染地块地下水修复和风险管控技术导则</w:t>
      </w:r>
    </w:p>
    <w:p>
      <w:pPr>
        <w:spacing w:line="312" w:lineRule="auto"/>
        <w:ind w:firstLine="420"/>
        <w:rPr>
          <w:rFonts w:ascii="Times New Roman" w:hAnsi="Times New Roman" w:cs="Times New Roman"/>
          <w:color w:val="auto"/>
          <w:sz w:val="24"/>
          <w:szCs w:val="24"/>
        </w:rPr>
      </w:pPr>
      <w:r>
        <w:rPr>
          <w:rFonts w:ascii="Times New Roman" w:hAnsi="Times New Roman" w:cs="Times New Roman"/>
          <w:color w:val="auto"/>
          <w:sz w:val="24"/>
          <w:szCs w:val="24"/>
        </w:rPr>
        <w:t>HJ/T 55  大气污染物无组织排放监测技术导则</w:t>
      </w:r>
    </w:p>
    <w:p>
      <w:pPr>
        <w:spacing w:line="312" w:lineRule="auto"/>
        <w:ind w:firstLine="420"/>
        <w:rPr>
          <w:rFonts w:ascii="Times New Roman" w:hAnsi="Times New Roman" w:cs="Times New Roman"/>
          <w:color w:val="auto"/>
          <w:sz w:val="24"/>
          <w:szCs w:val="24"/>
        </w:rPr>
      </w:pPr>
      <w:r>
        <w:rPr>
          <w:rFonts w:ascii="Times New Roman" w:hAnsi="Times New Roman" w:cs="Times New Roman"/>
          <w:color w:val="auto"/>
          <w:sz w:val="24"/>
          <w:szCs w:val="24"/>
        </w:rPr>
        <w:t>HJ/T 91  地表水和污水监测技术规范</w:t>
      </w:r>
    </w:p>
    <w:p>
      <w:pPr>
        <w:spacing w:line="312" w:lineRule="auto"/>
        <w:ind w:firstLine="420"/>
        <w:rPr>
          <w:rFonts w:ascii="Times New Roman" w:hAnsi="Times New Roman" w:cs="Times New Roman"/>
          <w:color w:val="auto"/>
          <w:sz w:val="24"/>
          <w:szCs w:val="24"/>
        </w:rPr>
      </w:pPr>
      <w:r>
        <w:rPr>
          <w:rFonts w:ascii="Times New Roman" w:hAnsi="Times New Roman" w:cs="Times New Roman"/>
          <w:color w:val="auto"/>
          <w:sz w:val="24"/>
          <w:szCs w:val="24"/>
        </w:rPr>
        <w:t>HJ/T 164  地下水环境监测技术规范</w:t>
      </w:r>
    </w:p>
    <w:p>
      <w:pPr>
        <w:spacing w:line="312" w:lineRule="auto"/>
        <w:ind w:firstLine="420"/>
        <w:rPr>
          <w:rFonts w:ascii="Times New Roman" w:hAnsi="Times New Roman" w:cs="Times New Roman"/>
          <w:color w:val="auto"/>
          <w:sz w:val="24"/>
          <w:szCs w:val="24"/>
        </w:rPr>
      </w:pPr>
      <w:r>
        <w:rPr>
          <w:rFonts w:ascii="Times New Roman" w:hAnsi="Times New Roman" w:cs="Times New Roman"/>
          <w:color w:val="auto"/>
          <w:sz w:val="24"/>
          <w:szCs w:val="24"/>
        </w:rPr>
        <w:t>HJ/T 166  土壤环境监测技术规范</w:t>
      </w:r>
    </w:p>
    <w:p>
      <w:pPr>
        <w:spacing w:line="312" w:lineRule="auto"/>
        <w:ind w:firstLine="420"/>
        <w:rPr>
          <w:rFonts w:ascii="Times New Roman" w:hAnsi="Times New Roman" w:cs="Times New Roman"/>
          <w:color w:val="auto"/>
          <w:sz w:val="24"/>
          <w:szCs w:val="24"/>
        </w:rPr>
      </w:pPr>
      <w:r>
        <w:rPr>
          <w:rFonts w:ascii="Times New Roman" w:hAnsi="Times New Roman" w:cs="Times New Roman"/>
          <w:color w:val="auto"/>
          <w:sz w:val="24"/>
          <w:szCs w:val="24"/>
        </w:rPr>
        <w:t>HJ/T 298  危险废物鉴别技术规范</w:t>
      </w:r>
    </w:p>
    <w:p>
      <w:pPr>
        <w:spacing w:line="312" w:lineRule="auto"/>
        <w:ind w:firstLine="420"/>
        <w:rPr>
          <w:rFonts w:ascii="Times New Roman" w:hAnsi="Times New Roman" w:cs="Times New Roman"/>
          <w:color w:val="auto"/>
          <w:sz w:val="24"/>
          <w:szCs w:val="24"/>
        </w:rPr>
      </w:pPr>
      <w:r>
        <w:rPr>
          <w:rFonts w:ascii="Times New Roman" w:hAnsi="Times New Roman" w:cs="Times New Roman"/>
          <w:color w:val="auto"/>
          <w:sz w:val="24"/>
          <w:szCs w:val="24"/>
        </w:rPr>
        <w:t>HJ/T 397  固定源废气监测技术规范</w:t>
      </w:r>
    </w:p>
    <w:p>
      <w:pPr>
        <w:spacing w:line="312" w:lineRule="auto"/>
        <w:ind w:firstLine="420"/>
        <w:rPr>
          <w:rFonts w:ascii="Times New Roman" w:hAnsi="Times New Roman" w:cs="Times New Roman"/>
          <w:color w:val="auto"/>
          <w:sz w:val="24"/>
          <w:szCs w:val="24"/>
        </w:rPr>
      </w:pPr>
      <w:r>
        <w:rPr>
          <w:rFonts w:ascii="Times New Roman" w:hAnsi="Times New Roman" w:cs="Times New Roman"/>
          <w:color w:val="auto"/>
          <w:sz w:val="24"/>
          <w:szCs w:val="24"/>
        </w:rPr>
        <w:t>HJ 682  建设用地土壤污染风险管控和修复术语</w:t>
      </w:r>
    </w:p>
    <w:p>
      <w:pPr>
        <w:spacing w:line="312" w:lineRule="auto"/>
        <w:ind w:firstLine="420"/>
        <w:rPr>
          <w:rFonts w:ascii="Times New Roman" w:hAnsi="Times New Roman" w:cs="Times New Roman"/>
          <w:color w:val="auto"/>
          <w:sz w:val="24"/>
          <w:szCs w:val="24"/>
        </w:rPr>
      </w:pPr>
      <w:r>
        <w:rPr>
          <w:rFonts w:ascii="Times New Roman" w:hAnsi="Times New Roman" w:cs="Times New Roman"/>
          <w:color w:val="auto"/>
          <w:sz w:val="24"/>
          <w:szCs w:val="24"/>
        </w:rPr>
        <w:t>DB44/26  广东省地方标准 水污染物排放限值</w:t>
      </w:r>
    </w:p>
    <w:p>
      <w:pPr>
        <w:spacing w:line="312" w:lineRule="auto"/>
        <w:ind w:firstLine="420"/>
        <w:rPr>
          <w:rFonts w:ascii="Times New Roman" w:hAnsi="Times New Roman" w:cs="Times New Roman"/>
          <w:color w:val="auto"/>
          <w:sz w:val="24"/>
          <w:szCs w:val="24"/>
        </w:rPr>
      </w:pPr>
      <w:r>
        <w:rPr>
          <w:rFonts w:ascii="Times New Roman" w:hAnsi="Times New Roman" w:cs="Times New Roman"/>
          <w:color w:val="auto"/>
          <w:sz w:val="24"/>
          <w:szCs w:val="24"/>
        </w:rPr>
        <w:t>DB44/T27  广东省地方标准 大气污染物排放限值</w:t>
      </w:r>
    </w:p>
    <w:p>
      <w:pPr>
        <w:spacing w:line="312" w:lineRule="auto"/>
        <w:ind w:firstLine="420"/>
        <w:rPr>
          <w:rFonts w:ascii="Times New Roman" w:hAnsi="Times New Roman" w:cs="Times New Roman"/>
          <w:color w:val="auto"/>
          <w:sz w:val="24"/>
          <w:szCs w:val="24"/>
        </w:rPr>
      </w:pPr>
      <w:bookmarkStart w:id="24" w:name="_Hlk44192505"/>
      <w:r>
        <w:rPr>
          <w:rFonts w:ascii="Times New Roman" w:hAnsi="Times New Roman" w:cs="Times New Roman"/>
          <w:color w:val="auto"/>
          <w:sz w:val="24"/>
          <w:szCs w:val="24"/>
        </w:rPr>
        <w:t>DB44/</w:t>
      </w:r>
      <w:bookmarkEnd w:id="24"/>
      <w:r>
        <w:rPr>
          <w:rFonts w:ascii="Times New Roman" w:hAnsi="Times New Roman" w:cs="Times New Roman"/>
          <w:color w:val="auto"/>
          <w:sz w:val="24"/>
          <w:szCs w:val="24"/>
        </w:rPr>
        <w:t>814  广东省地方标准 家具制造行业挥发性有机化合物排放标准</w:t>
      </w:r>
    </w:p>
    <w:p>
      <w:pPr>
        <w:spacing w:line="312" w:lineRule="auto"/>
        <w:ind w:firstLine="420"/>
        <w:rPr>
          <w:rFonts w:ascii="Times New Roman" w:hAnsi="Times New Roman" w:cs="Times New Roman"/>
          <w:color w:val="auto"/>
          <w:sz w:val="24"/>
          <w:szCs w:val="24"/>
        </w:rPr>
      </w:pPr>
      <w:r>
        <w:rPr>
          <w:rFonts w:ascii="Times New Roman" w:hAnsi="Times New Roman" w:cs="Times New Roman"/>
          <w:color w:val="auto"/>
          <w:sz w:val="24"/>
          <w:szCs w:val="24"/>
        </w:rPr>
        <w:t>DB44/T753  广东省地方标准 环境噪声自动监测技术规范</w:t>
      </w:r>
    </w:p>
    <w:p>
      <w:pPr>
        <w:pStyle w:val="2"/>
        <w:keepLines w:val="0"/>
        <w:numPr>
          <w:ilvl w:val="1"/>
          <w:numId w:val="9"/>
        </w:numPr>
        <w:snapToGrid w:val="0"/>
        <w:spacing w:before="312" w:beforeLines="100" w:after="156" w:afterLines="50" w:line="360" w:lineRule="auto"/>
        <w:ind w:right="210" w:rightChars="100"/>
        <w:rPr>
          <w:rFonts w:eastAsia="黑体"/>
          <w:b w:val="0"/>
          <w:bCs w:val="0"/>
          <w:color w:val="auto"/>
          <w:kern w:val="10"/>
          <w:sz w:val="24"/>
          <w:szCs w:val="24"/>
        </w:rPr>
      </w:pPr>
      <w:bookmarkStart w:id="25" w:name="_Toc42442610"/>
      <w:bookmarkEnd w:id="25"/>
      <w:bookmarkStart w:id="26" w:name="_Toc512528987"/>
      <w:bookmarkStart w:id="27" w:name="_Toc9493"/>
      <w:r>
        <w:rPr>
          <w:rFonts w:eastAsia="黑体"/>
          <w:b w:val="0"/>
          <w:bCs w:val="0"/>
          <w:color w:val="auto"/>
          <w:kern w:val="10"/>
          <w:sz w:val="24"/>
          <w:szCs w:val="24"/>
        </w:rPr>
        <w:t>术语和定义</w:t>
      </w:r>
      <w:bookmarkEnd w:id="26"/>
      <w:bookmarkEnd w:id="27"/>
    </w:p>
    <w:p>
      <w:pPr>
        <w:spacing w:line="360" w:lineRule="auto"/>
        <w:ind w:firstLine="420"/>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下列术语和定义适用于本</w:t>
      </w:r>
      <w:r>
        <w:rPr>
          <w:rFonts w:hint="eastAsia" w:ascii="Times New Roman" w:hAnsi="Times New Roman" w:cs="Times New Roman"/>
          <w:color w:val="auto"/>
          <w:sz w:val="24"/>
          <w:szCs w:val="24"/>
          <w:shd w:val="clear" w:color="auto" w:fill="FFFFFF"/>
        </w:rPr>
        <w:t>指南</w:t>
      </w:r>
      <w:r>
        <w:rPr>
          <w:rFonts w:ascii="Times New Roman" w:hAnsi="Times New Roman" w:cs="Times New Roman"/>
          <w:color w:val="auto"/>
          <w:sz w:val="24"/>
          <w:szCs w:val="24"/>
          <w:shd w:val="clear" w:color="auto" w:fill="FFFFFF"/>
        </w:rPr>
        <w:t>。</w:t>
      </w:r>
    </w:p>
    <w:p>
      <w:pPr>
        <w:pStyle w:val="58"/>
        <w:numPr>
          <w:ilvl w:val="2"/>
          <w:numId w:val="9"/>
        </w:numPr>
        <w:spacing w:line="360" w:lineRule="auto"/>
        <w:ind w:left="-4" w:leftChars="-2"/>
        <w:rPr>
          <w:rFonts w:ascii="Times New Roman" w:hAnsi="Times New Roman" w:cs="Times New Roman"/>
          <w:color w:val="auto"/>
          <w:sz w:val="24"/>
          <w:szCs w:val="24"/>
          <w:shd w:val="clear" w:color="auto" w:fill="FFFFFF"/>
        </w:rPr>
      </w:pPr>
      <w:bookmarkStart w:id="28" w:name="_Toc488048836"/>
      <w:bookmarkStart w:id="29" w:name="_Toc479879824"/>
      <w:bookmarkStart w:id="30" w:name="_Toc496543183"/>
      <w:bookmarkStart w:id="31" w:name="_Toc488048782"/>
      <w:bookmarkStart w:id="32" w:name="_Toc485034341"/>
      <w:r>
        <w:rPr>
          <w:rFonts w:ascii="Times New Roman" w:hAnsi="Times New Roman" w:cs="Times New Roman"/>
          <w:color w:val="auto"/>
          <w:sz w:val="24"/>
          <w:szCs w:val="24"/>
        </w:rPr>
        <w:t>建设用地</w:t>
      </w:r>
      <w:bookmarkEnd w:id="28"/>
      <w:bookmarkEnd w:id="29"/>
      <w:bookmarkEnd w:id="30"/>
      <w:bookmarkEnd w:id="31"/>
      <w:bookmarkEnd w:id="32"/>
      <w:r>
        <w:rPr>
          <w:rFonts w:ascii="Times New Roman" w:hAnsi="Times New Roman" w:cs="Times New Roman"/>
          <w:color w:val="auto"/>
          <w:sz w:val="24"/>
          <w:szCs w:val="24"/>
        </w:rPr>
        <w:t xml:space="preserve"> </w:t>
      </w:r>
    </w:p>
    <w:p>
      <w:pPr>
        <w:spacing w:line="360" w:lineRule="auto"/>
        <w:ind w:firstLine="420"/>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指建造建筑物、构筑物的土地，包括城乡住宅和公共设施用地、工矿用地、交通水利设施用地、旅游用地、军事设施用地等。</w:t>
      </w:r>
    </w:p>
    <w:p>
      <w:pPr>
        <w:pStyle w:val="58"/>
        <w:numPr>
          <w:ilvl w:val="2"/>
          <w:numId w:val="9"/>
        </w:numPr>
        <w:spacing w:line="360" w:lineRule="auto"/>
        <w:ind w:left="-4" w:leftChars="-2"/>
        <w:rPr>
          <w:rFonts w:ascii="Times New Roman" w:hAnsi="Times New Roman" w:cs="Times New Roman"/>
          <w:color w:val="auto"/>
          <w:sz w:val="24"/>
          <w:szCs w:val="24"/>
        </w:rPr>
      </w:pPr>
      <w:bookmarkStart w:id="33" w:name="_Hlk524510258"/>
      <w:bookmarkStart w:id="34" w:name="_Toc476053094"/>
      <w:bookmarkStart w:id="35" w:name="_Toc475620756"/>
      <w:bookmarkStart w:id="36" w:name="_Toc496792170"/>
      <w:r>
        <w:rPr>
          <w:rFonts w:ascii="Times New Roman" w:hAnsi="Times New Roman" w:cs="Times New Roman"/>
          <w:color w:val="auto"/>
          <w:sz w:val="24"/>
          <w:szCs w:val="24"/>
        </w:rPr>
        <w:t>土壤污染风险管控和修复</w:t>
      </w:r>
      <w:bookmarkEnd w:id="33"/>
      <w:r>
        <w:rPr>
          <w:rFonts w:ascii="Times New Roman" w:hAnsi="Times New Roman" w:cs="Times New Roman"/>
          <w:color w:val="auto"/>
          <w:sz w:val="24"/>
          <w:szCs w:val="24"/>
        </w:rPr>
        <w:t xml:space="preserve">  </w:t>
      </w:r>
    </w:p>
    <w:p>
      <w:pPr>
        <w:spacing w:line="360" w:lineRule="auto"/>
        <w:ind w:firstLine="484" w:firstLineChars="202"/>
        <w:rPr>
          <w:rFonts w:ascii="Times New Roman" w:hAnsi="Times New Roman" w:cs="Times New Roman"/>
          <w:color w:val="auto"/>
          <w:sz w:val="24"/>
          <w:szCs w:val="24"/>
          <w:shd w:val="clear" w:color="auto" w:fill="FFFFFF"/>
        </w:rPr>
      </w:pPr>
      <w:bookmarkStart w:id="37" w:name="_Hlk524510267"/>
      <w:r>
        <w:rPr>
          <w:rFonts w:ascii="Times New Roman" w:hAnsi="Times New Roman" w:cs="Times New Roman"/>
          <w:color w:val="auto"/>
          <w:sz w:val="24"/>
          <w:szCs w:val="24"/>
          <w:shd w:val="clear" w:color="auto" w:fill="FFFFFF"/>
        </w:rPr>
        <w:t>土壤污染风险管控和修复包括土壤污染状况调查和土壤污染风险评估、风险管控、修复、风险管控效果评估、修复效果评估、后期管理等活动。</w:t>
      </w:r>
    </w:p>
    <w:p>
      <w:pPr>
        <w:pStyle w:val="58"/>
        <w:numPr>
          <w:ilvl w:val="2"/>
          <w:numId w:val="9"/>
        </w:numPr>
        <w:spacing w:line="360" w:lineRule="auto"/>
        <w:ind w:left="-4" w:leftChars="-2"/>
        <w:rPr>
          <w:rFonts w:ascii="Times New Roman" w:hAnsi="Times New Roman" w:cs="Times New Roman"/>
          <w:color w:val="auto"/>
          <w:sz w:val="24"/>
          <w:szCs w:val="24"/>
        </w:rPr>
      </w:pPr>
      <w:r>
        <w:rPr>
          <w:rFonts w:ascii="Times New Roman" w:hAnsi="Times New Roman" w:cs="Times New Roman"/>
          <w:color w:val="auto"/>
          <w:sz w:val="24"/>
          <w:szCs w:val="24"/>
        </w:rPr>
        <w:t xml:space="preserve">建设用地土壤污染修复工程 </w:t>
      </w:r>
    </w:p>
    <w:p>
      <w:pPr>
        <w:spacing w:line="360" w:lineRule="auto"/>
        <w:ind w:firstLine="484" w:firstLineChars="202"/>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建设用地土壤污染修复工程指建设用地经过调查表明土壤或地下水存在污染且需要开展土壤污染修复工程的项目，不包含风险管控。</w:t>
      </w:r>
    </w:p>
    <w:bookmarkEnd w:id="34"/>
    <w:bookmarkEnd w:id="35"/>
    <w:bookmarkEnd w:id="36"/>
    <w:bookmarkEnd w:id="37"/>
    <w:p>
      <w:pPr>
        <w:pStyle w:val="58"/>
        <w:numPr>
          <w:ilvl w:val="2"/>
          <w:numId w:val="9"/>
        </w:numPr>
        <w:spacing w:line="360" w:lineRule="auto"/>
        <w:ind w:left="-4" w:leftChars="-2"/>
        <w:rPr>
          <w:rFonts w:ascii="Times New Roman" w:hAnsi="Times New Roman" w:cs="Times New Roman"/>
          <w:color w:val="auto"/>
          <w:sz w:val="24"/>
          <w:szCs w:val="24"/>
        </w:rPr>
      </w:pPr>
      <w:bookmarkStart w:id="38" w:name="_Toc488048784"/>
      <w:bookmarkStart w:id="39" w:name="_Toc496543185"/>
      <w:bookmarkStart w:id="40" w:name="_Toc485034343"/>
      <w:bookmarkStart w:id="41" w:name="_Toc479879825"/>
      <w:bookmarkStart w:id="42" w:name="_Toc488048838"/>
      <w:r>
        <w:rPr>
          <w:rFonts w:ascii="Times New Roman" w:hAnsi="Times New Roman" w:cs="Times New Roman"/>
          <w:color w:val="auto"/>
          <w:sz w:val="24"/>
          <w:szCs w:val="24"/>
        </w:rPr>
        <w:t xml:space="preserve">原位修复  </w:t>
      </w:r>
      <w:bookmarkEnd w:id="38"/>
      <w:bookmarkEnd w:id="39"/>
      <w:bookmarkEnd w:id="40"/>
      <w:bookmarkEnd w:id="41"/>
      <w:bookmarkEnd w:id="42"/>
    </w:p>
    <w:p>
      <w:pPr>
        <w:spacing w:line="360" w:lineRule="auto"/>
        <w:ind w:firstLine="426"/>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不移动受污染的土壤或地下水，直接在地块发生污染的位置对其</w:t>
      </w:r>
      <w:bookmarkStart w:id="43" w:name="_Hlk524510303"/>
      <w:r>
        <w:rPr>
          <w:rFonts w:ascii="Times New Roman" w:hAnsi="Times New Roman" w:cs="Times New Roman"/>
          <w:color w:val="auto"/>
          <w:sz w:val="24"/>
          <w:szCs w:val="24"/>
          <w:shd w:val="clear" w:color="auto" w:fill="FFFFFF"/>
        </w:rPr>
        <w:t>进行原地</w:t>
      </w:r>
      <w:bookmarkEnd w:id="43"/>
      <w:r>
        <w:rPr>
          <w:rFonts w:ascii="Times New Roman" w:hAnsi="Times New Roman" w:cs="Times New Roman"/>
          <w:color w:val="auto"/>
          <w:sz w:val="24"/>
          <w:szCs w:val="24"/>
          <w:shd w:val="clear" w:color="auto" w:fill="FFFFFF"/>
        </w:rPr>
        <w:t>修复或处理。</w:t>
      </w:r>
    </w:p>
    <w:p>
      <w:pPr>
        <w:pStyle w:val="58"/>
        <w:numPr>
          <w:ilvl w:val="2"/>
          <w:numId w:val="9"/>
        </w:numPr>
        <w:spacing w:line="360" w:lineRule="auto"/>
        <w:ind w:left="-4" w:leftChars="-2"/>
        <w:rPr>
          <w:rFonts w:ascii="Times New Roman" w:hAnsi="Times New Roman" w:cs="Times New Roman"/>
          <w:color w:val="auto"/>
          <w:sz w:val="24"/>
          <w:szCs w:val="24"/>
        </w:rPr>
      </w:pPr>
      <w:bookmarkStart w:id="44" w:name="_Toc488048839"/>
      <w:bookmarkStart w:id="45" w:name="_Toc485034344"/>
      <w:bookmarkStart w:id="46" w:name="_Toc488048785"/>
      <w:bookmarkStart w:id="47" w:name="_Toc496543186"/>
      <w:bookmarkStart w:id="48" w:name="_Toc479879826"/>
      <w:r>
        <w:rPr>
          <w:rFonts w:ascii="Times New Roman" w:hAnsi="Times New Roman" w:cs="Times New Roman"/>
          <w:color w:val="auto"/>
          <w:sz w:val="24"/>
          <w:szCs w:val="24"/>
        </w:rPr>
        <w:t xml:space="preserve">异位修复   </w:t>
      </w:r>
      <w:bookmarkEnd w:id="44"/>
      <w:bookmarkEnd w:id="45"/>
      <w:bookmarkEnd w:id="46"/>
      <w:bookmarkEnd w:id="47"/>
      <w:bookmarkEnd w:id="48"/>
    </w:p>
    <w:p>
      <w:pPr>
        <w:spacing w:line="360" w:lineRule="auto"/>
        <w:ind w:firstLine="420"/>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将受污染的土壤或地下水从地块发生污染的原来位置挖掘或抽提出来，搬运或转移到其他场所或位置进行治理修复。</w:t>
      </w:r>
    </w:p>
    <w:p>
      <w:pPr>
        <w:pStyle w:val="58"/>
        <w:numPr>
          <w:ilvl w:val="2"/>
          <w:numId w:val="9"/>
        </w:numPr>
        <w:spacing w:line="360" w:lineRule="auto"/>
        <w:ind w:left="-4" w:leftChars="-2"/>
        <w:rPr>
          <w:rFonts w:ascii="Times New Roman" w:hAnsi="Times New Roman" w:cs="Times New Roman"/>
          <w:color w:val="auto"/>
          <w:sz w:val="24"/>
          <w:szCs w:val="24"/>
        </w:rPr>
      </w:pPr>
      <w:r>
        <w:rPr>
          <w:rFonts w:ascii="Times New Roman" w:hAnsi="Times New Roman" w:cs="Times New Roman"/>
          <w:color w:val="auto"/>
          <w:sz w:val="24"/>
          <w:szCs w:val="24"/>
        </w:rPr>
        <w:t xml:space="preserve">土壤污染修复工程环境监理  </w:t>
      </w:r>
    </w:p>
    <w:p>
      <w:pPr>
        <w:spacing w:line="360" w:lineRule="auto"/>
        <w:ind w:firstLine="420"/>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按照环境监理合同</w:t>
      </w:r>
      <w:bookmarkStart w:id="49" w:name="_Hlk50563494"/>
      <w:r>
        <w:rPr>
          <w:rFonts w:ascii="Times New Roman" w:hAnsi="Times New Roman" w:cs="Times New Roman"/>
          <w:color w:val="auto"/>
          <w:sz w:val="24"/>
          <w:szCs w:val="24"/>
          <w:shd w:val="clear" w:color="auto" w:fill="FFFFFF"/>
        </w:rPr>
        <w:t>对</w:t>
      </w:r>
      <w:r>
        <w:rPr>
          <w:rFonts w:hint="eastAsia" w:ascii="Times New Roman" w:hAnsi="Times New Roman" w:cs="Times New Roman"/>
          <w:color w:val="auto"/>
          <w:sz w:val="24"/>
          <w:szCs w:val="24"/>
          <w:shd w:val="clear" w:color="auto" w:fill="FFFFFF"/>
        </w:rPr>
        <w:t>土壤污染修复</w:t>
      </w:r>
      <w:r>
        <w:rPr>
          <w:rFonts w:ascii="Times New Roman" w:hAnsi="Times New Roman" w:cs="Times New Roman"/>
          <w:color w:val="auto"/>
          <w:sz w:val="24"/>
          <w:szCs w:val="24"/>
          <w:shd w:val="clear" w:color="auto" w:fill="FFFFFF"/>
        </w:rPr>
        <w:t>过程中的各项</w:t>
      </w:r>
      <w:r>
        <w:rPr>
          <w:rFonts w:hint="eastAsia" w:ascii="Times New Roman" w:hAnsi="Times New Roman" w:cs="Times New Roman"/>
          <w:color w:val="auto"/>
          <w:sz w:val="24"/>
          <w:szCs w:val="24"/>
          <w:shd w:val="clear" w:color="auto" w:fill="FFFFFF"/>
          <w:lang w:eastAsia="zh-CN"/>
        </w:rPr>
        <w:t>生态</w:t>
      </w:r>
      <w:r>
        <w:rPr>
          <w:rFonts w:ascii="Times New Roman" w:hAnsi="Times New Roman" w:cs="Times New Roman"/>
          <w:color w:val="auto"/>
          <w:sz w:val="24"/>
          <w:szCs w:val="24"/>
          <w:shd w:val="clear" w:color="auto" w:fill="FFFFFF"/>
        </w:rPr>
        <w:t>环境保护要求的落实</w:t>
      </w:r>
      <w:bookmarkEnd w:id="49"/>
      <w:r>
        <w:rPr>
          <w:rFonts w:ascii="Times New Roman" w:hAnsi="Times New Roman" w:cs="Times New Roman"/>
          <w:color w:val="auto"/>
          <w:sz w:val="24"/>
          <w:szCs w:val="24"/>
          <w:shd w:val="clear" w:color="auto" w:fill="FFFFFF"/>
        </w:rPr>
        <w:t>情况进行监理。</w:t>
      </w:r>
    </w:p>
    <w:p>
      <w:pPr>
        <w:pStyle w:val="58"/>
        <w:numPr>
          <w:ilvl w:val="2"/>
          <w:numId w:val="9"/>
        </w:numPr>
        <w:spacing w:line="360" w:lineRule="auto"/>
        <w:ind w:left="-4" w:leftChars="-2"/>
        <w:rPr>
          <w:rFonts w:ascii="Times New Roman" w:hAnsi="Times New Roman" w:cs="Times New Roman"/>
          <w:color w:val="auto"/>
          <w:sz w:val="24"/>
          <w:szCs w:val="24"/>
        </w:rPr>
      </w:pPr>
      <w:r>
        <w:rPr>
          <w:rFonts w:ascii="Times New Roman" w:hAnsi="Times New Roman" w:cs="Times New Roman"/>
          <w:color w:val="auto"/>
          <w:sz w:val="24"/>
          <w:szCs w:val="24"/>
        </w:rPr>
        <w:t>环境监理单位</w:t>
      </w:r>
    </w:p>
    <w:p>
      <w:pPr>
        <w:spacing w:line="360" w:lineRule="auto"/>
        <w:ind w:firstLine="420"/>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具有建设用地土壤污染修复工程环境监理相应工作能力和相关工作经验、承担环境监理业务的独立法人单位。</w:t>
      </w:r>
    </w:p>
    <w:p>
      <w:pPr>
        <w:pStyle w:val="2"/>
        <w:keepLines w:val="0"/>
        <w:numPr>
          <w:ilvl w:val="1"/>
          <w:numId w:val="9"/>
        </w:numPr>
        <w:snapToGrid w:val="0"/>
        <w:spacing w:before="312" w:beforeLines="100" w:after="156" w:afterLines="50" w:line="360" w:lineRule="auto"/>
        <w:ind w:right="210" w:rightChars="100"/>
        <w:rPr>
          <w:rFonts w:eastAsia="黑体"/>
          <w:b w:val="0"/>
          <w:bCs w:val="0"/>
          <w:color w:val="auto"/>
          <w:kern w:val="10"/>
          <w:sz w:val="24"/>
          <w:szCs w:val="24"/>
        </w:rPr>
      </w:pPr>
      <w:bookmarkStart w:id="50" w:name="_Toc4982"/>
      <w:bookmarkStart w:id="51" w:name="_Toc512528988"/>
      <w:r>
        <w:rPr>
          <w:rFonts w:eastAsia="黑体"/>
          <w:b w:val="0"/>
          <w:bCs w:val="0"/>
          <w:color w:val="auto"/>
          <w:kern w:val="10"/>
          <w:sz w:val="24"/>
          <w:szCs w:val="24"/>
        </w:rPr>
        <w:t>工作目的与原则</w:t>
      </w:r>
      <w:bookmarkEnd w:id="50"/>
      <w:bookmarkEnd w:id="51"/>
    </w:p>
    <w:p>
      <w:pPr>
        <w:pStyle w:val="58"/>
        <w:numPr>
          <w:ilvl w:val="2"/>
          <w:numId w:val="9"/>
        </w:numPr>
        <w:spacing w:line="360" w:lineRule="auto"/>
        <w:ind w:left="0"/>
        <w:rPr>
          <w:rFonts w:ascii="Times New Roman" w:hAnsi="Times New Roman" w:cs="Times New Roman"/>
          <w:color w:val="auto"/>
          <w:sz w:val="24"/>
          <w:szCs w:val="24"/>
        </w:rPr>
      </w:pPr>
      <w:r>
        <w:rPr>
          <w:rFonts w:ascii="Times New Roman" w:hAnsi="Times New Roman" w:cs="Times New Roman"/>
          <w:color w:val="auto"/>
          <w:sz w:val="24"/>
          <w:szCs w:val="24"/>
        </w:rPr>
        <w:t>工作目的</w:t>
      </w:r>
    </w:p>
    <w:p>
      <w:pPr>
        <w:spacing w:line="360" w:lineRule="auto"/>
        <w:ind w:firstLine="480" w:firstLineChars="200"/>
        <w:rPr>
          <w:rFonts w:ascii="Times New Roman" w:hAnsi="Times New Roman" w:cs="Times New Roman"/>
          <w:color w:val="auto"/>
          <w:sz w:val="24"/>
          <w:szCs w:val="24"/>
        </w:rPr>
      </w:pPr>
      <w:r>
        <w:rPr>
          <w:rFonts w:ascii="Times New Roman" w:hAnsi="Times New Roman" w:cs="Times New Roman"/>
          <w:color w:val="auto"/>
          <w:kern w:val="0"/>
          <w:sz w:val="24"/>
          <w:szCs w:val="24"/>
        </w:rPr>
        <w:t>环境监理单位依据有关环境保护法律法规、土壤污染状况调查报告、风险评估报告、土壤污染修复方案、环境监理合同等，对建设用地土壤污染修复工程实施专业化的环境保护咨询和技术服务，监督土壤污染修复施工单位全面落实各项</w:t>
      </w:r>
      <w:r>
        <w:rPr>
          <w:rFonts w:hint="eastAsia" w:ascii="Times New Roman" w:hAnsi="Times New Roman" w:cs="Times New Roman"/>
          <w:color w:val="auto"/>
          <w:kern w:val="0"/>
          <w:sz w:val="24"/>
          <w:szCs w:val="24"/>
          <w:lang w:eastAsia="zh-CN"/>
        </w:rPr>
        <w:t>生态</w:t>
      </w:r>
      <w:r>
        <w:rPr>
          <w:rFonts w:ascii="Times New Roman" w:hAnsi="Times New Roman" w:cs="Times New Roman"/>
          <w:color w:val="auto"/>
          <w:kern w:val="0"/>
          <w:sz w:val="24"/>
          <w:szCs w:val="24"/>
        </w:rPr>
        <w:t>环境保护要求，实现对土壤污染修复工程过程中二次污染的控制。</w:t>
      </w:r>
    </w:p>
    <w:p>
      <w:pPr>
        <w:pStyle w:val="58"/>
        <w:numPr>
          <w:ilvl w:val="2"/>
          <w:numId w:val="9"/>
        </w:numPr>
        <w:spacing w:line="360" w:lineRule="auto"/>
        <w:ind w:left="0"/>
        <w:rPr>
          <w:rFonts w:ascii="Times New Roman" w:hAnsi="Times New Roman" w:cs="Times New Roman"/>
          <w:color w:val="auto"/>
          <w:sz w:val="24"/>
          <w:szCs w:val="24"/>
        </w:rPr>
      </w:pPr>
      <w:r>
        <w:rPr>
          <w:rFonts w:ascii="Times New Roman" w:hAnsi="Times New Roman" w:cs="Times New Roman"/>
          <w:color w:val="auto"/>
          <w:sz w:val="24"/>
          <w:szCs w:val="24"/>
        </w:rPr>
        <w:t>工作原则</w:t>
      </w:r>
    </w:p>
    <w:p>
      <w:pPr>
        <w:pStyle w:val="58"/>
        <w:numPr>
          <w:ilvl w:val="3"/>
          <w:numId w:val="9"/>
        </w:numPr>
        <w:spacing w:line="360" w:lineRule="auto"/>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公正性原则</w:t>
      </w:r>
    </w:p>
    <w:p>
      <w:pPr>
        <w:spacing w:line="360" w:lineRule="auto"/>
        <w:ind w:firstLine="480" w:firstLineChars="200"/>
        <w:rPr>
          <w:rFonts w:ascii="Times New Roman" w:hAnsi="Times New Roman" w:cs="Times New Roman"/>
          <w:color w:val="auto"/>
          <w:kern w:val="0"/>
          <w:sz w:val="24"/>
          <w:szCs w:val="24"/>
        </w:rPr>
      </w:pPr>
      <w:bookmarkStart w:id="52" w:name="_Hlk42438690"/>
      <w:r>
        <w:rPr>
          <w:rFonts w:ascii="Times New Roman" w:hAnsi="Times New Roman" w:cs="Times New Roman"/>
          <w:color w:val="auto"/>
          <w:kern w:val="0"/>
          <w:sz w:val="24"/>
          <w:szCs w:val="24"/>
        </w:rPr>
        <w:t>环境监理单位依据土壤污染修复项目相关文件，以保护生态环境为目标，客观、公正</w:t>
      </w:r>
      <w:r>
        <w:rPr>
          <w:rFonts w:hint="eastAsia" w:ascii="Times New Roman" w:hAnsi="Times New Roman" w:cs="Times New Roman"/>
          <w:color w:val="auto"/>
          <w:kern w:val="0"/>
          <w:sz w:val="24"/>
          <w:szCs w:val="24"/>
          <w:lang w:eastAsia="zh-CN"/>
        </w:rPr>
        <w:t>地</w:t>
      </w:r>
      <w:r>
        <w:rPr>
          <w:rFonts w:ascii="Times New Roman" w:hAnsi="Times New Roman" w:cs="Times New Roman"/>
          <w:color w:val="auto"/>
          <w:kern w:val="0"/>
          <w:sz w:val="24"/>
          <w:szCs w:val="24"/>
        </w:rPr>
        <w:t>开展建设用地土壤污染修复工程环境监理相关工作。</w:t>
      </w:r>
    </w:p>
    <w:bookmarkEnd w:id="52"/>
    <w:p>
      <w:pPr>
        <w:pStyle w:val="58"/>
        <w:numPr>
          <w:ilvl w:val="3"/>
          <w:numId w:val="9"/>
        </w:numPr>
        <w:spacing w:line="360" w:lineRule="auto"/>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针对性原则</w:t>
      </w:r>
    </w:p>
    <w:p>
      <w:pPr>
        <w:spacing w:line="360" w:lineRule="auto"/>
        <w:ind w:firstLine="480" w:firstLineChars="200"/>
        <w:rPr>
          <w:rFonts w:ascii="Times New Roman" w:hAnsi="Times New Roman" w:cs="Times New Roman"/>
          <w:color w:val="auto"/>
          <w:sz w:val="24"/>
          <w:szCs w:val="24"/>
        </w:rPr>
      </w:pPr>
      <w:r>
        <w:rPr>
          <w:rFonts w:ascii="Times New Roman" w:hAnsi="Times New Roman" w:cs="Times New Roman"/>
          <w:color w:val="auto"/>
          <w:sz w:val="24"/>
          <w:szCs w:val="24"/>
        </w:rPr>
        <w:t>根据</w:t>
      </w:r>
      <w:r>
        <w:rPr>
          <w:rFonts w:hint="eastAsia" w:ascii="Times New Roman" w:hAnsi="Times New Roman" w:cs="Times New Roman"/>
          <w:color w:val="auto"/>
          <w:sz w:val="24"/>
          <w:szCs w:val="24"/>
        </w:rPr>
        <w:t>土壤污染修复工程</w:t>
      </w:r>
      <w:r>
        <w:rPr>
          <w:rFonts w:ascii="Times New Roman" w:hAnsi="Times New Roman" w:cs="Times New Roman"/>
          <w:color w:val="auto"/>
          <w:sz w:val="24"/>
          <w:szCs w:val="24"/>
        </w:rPr>
        <w:t>特点和修复工艺，重点针对土壤污染修复期间的二次污染防治要求，开展监督和管理。</w:t>
      </w:r>
    </w:p>
    <w:p>
      <w:pPr>
        <w:pStyle w:val="58"/>
        <w:numPr>
          <w:ilvl w:val="3"/>
          <w:numId w:val="9"/>
        </w:numPr>
        <w:spacing w:line="360" w:lineRule="auto"/>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适时性原则</w:t>
      </w:r>
    </w:p>
    <w:p>
      <w:pPr>
        <w:spacing w:line="360" w:lineRule="auto"/>
        <w:ind w:firstLine="480" w:firstLineChars="200"/>
        <w:rPr>
          <w:rFonts w:ascii="Times New Roman" w:hAnsi="Times New Roman" w:cs="Times New Roman"/>
          <w:color w:val="auto"/>
          <w:kern w:val="0"/>
          <w:sz w:val="24"/>
          <w:szCs w:val="24"/>
        </w:rPr>
      </w:pPr>
      <w:r>
        <w:rPr>
          <w:rFonts w:ascii="Times New Roman" w:hAnsi="Times New Roman" w:cs="Times New Roman"/>
          <w:color w:val="auto"/>
          <w:kern w:val="0"/>
          <w:sz w:val="24"/>
          <w:szCs w:val="24"/>
        </w:rPr>
        <w:t>鉴于建设用地土壤污染修复工程实施过程中</w:t>
      </w:r>
      <w:r>
        <w:rPr>
          <w:rFonts w:hint="eastAsia" w:ascii="Times New Roman" w:hAnsi="Times New Roman" w:cs="Times New Roman"/>
          <w:color w:val="auto"/>
          <w:kern w:val="0"/>
          <w:sz w:val="24"/>
          <w:szCs w:val="24"/>
          <w:lang w:eastAsia="zh-CN"/>
        </w:rPr>
        <w:t>受</w:t>
      </w:r>
      <w:r>
        <w:rPr>
          <w:rFonts w:ascii="Times New Roman" w:hAnsi="Times New Roman" w:cs="Times New Roman"/>
          <w:color w:val="auto"/>
          <w:kern w:val="0"/>
          <w:sz w:val="24"/>
          <w:szCs w:val="24"/>
        </w:rPr>
        <w:t>各种因素影响，可能导致土壤污染修复方案的变更，因此环境监理单位</w:t>
      </w:r>
      <w:r>
        <w:rPr>
          <w:rFonts w:hint="eastAsia" w:ascii="Times New Roman" w:hAnsi="Times New Roman" w:cs="Times New Roman"/>
          <w:color w:val="auto"/>
          <w:kern w:val="0"/>
          <w:sz w:val="24"/>
          <w:szCs w:val="24"/>
          <w:lang w:eastAsia="zh-CN"/>
        </w:rPr>
        <w:t>可</w:t>
      </w:r>
      <w:r>
        <w:rPr>
          <w:rFonts w:ascii="Times New Roman" w:hAnsi="Times New Roman" w:cs="Times New Roman"/>
          <w:color w:val="auto"/>
          <w:kern w:val="0"/>
          <w:sz w:val="24"/>
          <w:szCs w:val="24"/>
        </w:rPr>
        <w:t>根据工作需要，适时调整环境监理方案与工作内容。</w:t>
      </w:r>
    </w:p>
    <w:p>
      <w:pPr>
        <w:spacing w:line="360" w:lineRule="auto"/>
        <w:ind w:firstLine="480" w:firstLineChars="200"/>
        <w:rPr>
          <w:rFonts w:ascii="Times New Roman" w:hAnsi="Times New Roman" w:cs="Times New Roman"/>
          <w:color w:val="auto"/>
          <w:kern w:val="0"/>
          <w:sz w:val="24"/>
          <w:szCs w:val="24"/>
        </w:rPr>
      </w:pPr>
    </w:p>
    <w:p>
      <w:pPr>
        <w:spacing w:line="360" w:lineRule="auto"/>
        <w:ind w:firstLine="480" w:firstLineChars="200"/>
        <w:rPr>
          <w:rFonts w:ascii="Times New Roman" w:hAnsi="Times New Roman" w:cs="Times New Roman"/>
          <w:color w:val="auto"/>
          <w:kern w:val="0"/>
          <w:sz w:val="24"/>
          <w:szCs w:val="24"/>
        </w:rPr>
      </w:pPr>
    </w:p>
    <w:p>
      <w:pPr>
        <w:spacing w:line="360" w:lineRule="auto"/>
        <w:ind w:firstLine="480" w:firstLineChars="200"/>
        <w:rPr>
          <w:rFonts w:ascii="Times New Roman" w:hAnsi="Times New Roman" w:cs="Times New Roman"/>
          <w:color w:val="auto"/>
          <w:kern w:val="0"/>
          <w:sz w:val="24"/>
          <w:szCs w:val="24"/>
        </w:rPr>
      </w:pPr>
    </w:p>
    <w:p>
      <w:pPr>
        <w:spacing w:line="360" w:lineRule="auto"/>
        <w:ind w:firstLine="480" w:firstLineChars="200"/>
        <w:rPr>
          <w:rFonts w:ascii="Times New Roman" w:hAnsi="Times New Roman" w:cs="Times New Roman"/>
          <w:color w:val="auto"/>
          <w:kern w:val="0"/>
          <w:sz w:val="24"/>
          <w:szCs w:val="24"/>
        </w:rPr>
      </w:pPr>
    </w:p>
    <w:p>
      <w:pPr>
        <w:spacing w:line="360" w:lineRule="auto"/>
        <w:ind w:firstLine="480" w:firstLineChars="200"/>
        <w:rPr>
          <w:rFonts w:ascii="Times New Roman" w:hAnsi="Times New Roman" w:cs="Times New Roman"/>
          <w:color w:val="auto"/>
          <w:kern w:val="0"/>
          <w:sz w:val="24"/>
          <w:szCs w:val="24"/>
        </w:rPr>
      </w:pPr>
    </w:p>
    <w:p>
      <w:pPr>
        <w:spacing w:line="360" w:lineRule="auto"/>
        <w:ind w:firstLine="480" w:firstLineChars="200"/>
        <w:rPr>
          <w:rFonts w:ascii="Times New Roman" w:hAnsi="Times New Roman" w:cs="Times New Roman"/>
          <w:color w:val="auto"/>
          <w:kern w:val="0"/>
          <w:sz w:val="24"/>
          <w:szCs w:val="24"/>
        </w:rPr>
      </w:pPr>
    </w:p>
    <w:p>
      <w:pPr>
        <w:pStyle w:val="2"/>
        <w:keepLines w:val="0"/>
        <w:numPr>
          <w:ilvl w:val="1"/>
          <w:numId w:val="9"/>
        </w:numPr>
        <w:snapToGrid w:val="0"/>
        <w:spacing w:before="312" w:beforeLines="100" w:after="156" w:afterLines="50" w:line="360" w:lineRule="auto"/>
        <w:ind w:right="210" w:rightChars="100"/>
        <w:rPr>
          <w:rFonts w:eastAsia="黑体"/>
          <w:b w:val="0"/>
          <w:bCs w:val="0"/>
          <w:color w:val="auto"/>
          <w:kern w:val="10"/>
          <w:sz w:val="24"/>
          <w:szCs w:val="24"/>
        </w:rPr>
      </w:pPr>
      <w:bookmarkStart w:id="53" w:name="_Toc42442621"/>
      <w:bookmarkEnd w:id="53"/>
      <w:bookmarkStart w:id="54" w:name="_Toc42442631"/>
      <w:bookmarkEnd w:id="54"/>
      <w:bookmarkStart w:id="55" w:name="_Toc42442625"/>
      <w:bookmarkEnd w:id="55"/>
      <w:bookmarkStart w:id="56" w:name="_Toc42442617"/>
      <w:bookmarkEnd w:id="56"/>
      <w:bookmarkStart w:id="57" w:name="_Toc42442624"/>
      <w:bookmarkEnd w:id="57"/>
      <w:bookmarkStart w:id="58" w:name="_Toc42442620"/>
      <w:bookmarkEnd w:id="58"/>
      <w:bookmarkStart w:id="59" w:name="_Toc42442618"/>
      <w:bookmarkEnd w:id="59"/>
      <w:bookmarkStart w:id="60" w:name="_Toc42442645"/>
      <w:bookmarkEnd w:id="60"/>
      <w:bookmarkStart w:id="61" w:name="_Toc42442633"/>
      <w:bookmarkEnd w:id="61"/>
      <w:bookmarkStart w:id="62" w:name="_Toc42442626"/>
      <w:bookmarkEnd w:id="62"/>
      <w:bookmarkStart w:id="63" w:name="_Toc42442636"/>
      <w:bookmarkEnd w:id="63"/>
      <w:bookmarkStart w:id="64" w:name="_Toc42442643"/>
      <w:bookmarkEnd w:id="64"/>
      <w:bookmarkStart w:id="65" w:name="_Toc42442637"/>
      <w:bookmarkEnd w:id="65"/>
      <w:bookmarkStart w:id="66" w:name="_Toc42442613"/>
      <w:bookmarkEnd w:id="66"/>
      <w:bookmarkStart w:id="67" w:name="_Toc42442614"/>
      <w:bookmarkEnd w:id="67"/>
      <w:bookmarkStart w:id="68" w:name="_Toc42442642"/>
      <w:bookmarkEnd w:id="68"/>
      <w:bookmarkStart w:id="69" w:name="_Toc42442632"/>
      <w:bookmarkEnd w:id="69"/>
      <w:bookmarkStart w:id="70" w:name="_Toc42442623"/>
      <w:bookmarkEnd w:id="70"/>
      <w:bookmarkStart w:id="71" w:name="_Toc42442644"/>
      <w:bookmarkEnd w:id="71"/>
      <w:bookmarkStart w:id="72" w:name="_Toc42442629"/>
      <w:bookmarkEnd w:id="72"/>
      <w:bookmarkStart w:id="73" w:name="_Toc42442640"/>
      <w:bookmarkEnd w:id="73"/>
      <w:bookmarkStart w:id="74" w:name="_Toc42442616"/>
      <w:bookmarkEnd w:id="74"/>
      <w:bookmarkStart w:id="75" w:name="_Toc42442622"/>
      <w:bookmarkEnd w:id="75"/>
      <w:bookmarkStart w:id="76" w:name="_Toc42442639"/>
      <w:bookmarkEnd w:id="76"/>
      <w:bookmarkStart w:id="77" w:name="_Toc42442641"/>
      <w:bookmarkEnd w:id="77"/>
      <w:bookmarkStart w:id="78" w:name="_Toc42442630"/>
      <w:bookmarkEnd w:id="78"/>
      <w:bookmarkStart w:id="79" w:name="_Toc42442627"/>
      <w:bookmarkEnd w:id="79"/>
      <w:bookmarkStart w:id="80" w:name="_Toc42442634"/>
      <w:bookmarkEnd w:id="80"/>
      <w:bookmarkStart w:id="81" w:name="_Toc42442628"/>
      <w:bookmarkEnd w:id="81"/>
      <w:bookmarkStart w:id="82" w:name="_Toc42442615"/>
      <w:bookmarkEnd w:id="82"/>
      <w:bookmarkStart w:id="83" w:name="_Toc42442638"/>
      <w:bookmarkEnd w:id="83"/>
      <w:bookmarkStart w:id="84" w:name="_Toc503423629"/>
      <w:bookmarkEnd w:id="84"/>
      <w:bookmarkStart w:id="85" w:name="_Toc42442619"/>
      <w:bookmarkEnd w:id="85"/>
      <w:bookmarkStart w:id="86" w:name="_Toc42442635"/>
      <w:bookmarkEnd w:id="86"/>
      <w:bookmarkStart w:id="87" w:name="_Toc1960"/>
      <w:bookmarkStart w:id="88" w:name="_Toc512528990"/>
      <w:r>
        <w:rPr>
          <w:rFonts w:eastAsia="黑体"/>
          <w:b w:val="0"/>
          <w:bCs w:val="0"/>
          <w:color w:val="auto"/>
          <w:kern w:val="10"/>
          <w:sz w:val="24"/>
          <w:szCs w:val="24"/>
        </w:rPr>
        <w:t>工作程序</w:t>
      </w:r>
      <w:bookmarkEnd w:id="87"/>
      <w:bookmarkEnd w:id="88"/>
    </w:p>
    <w:p>
      <w:pPr>
        <w:spacing w:line="360" w:lineRule="auto"/>
        <w:ind w:firstLine="480" w:firstLineChars="200"/>
        <w:rPr>
          <w:rFonts w:ascii="Times New Roman" w:hAnsi="Times New Roman" w:cs="Times New Roman"/>
          <w:color w:val="auto"/>
          <w:sz w:val="24"/>
          <w:szCs w:val="24"/>
        </w:rPr>
      </w:pPr>
      <w:r>
        <w:rPr>
          <w:rFonts w:ascii="Times New Roman" w:hAnsi="Times New Roman" w:cs="Times New Roman"/>
          <w:color w:val="auto"/>
          <w:sz w:val="24"/>
          <w:szCs w:val="24"/>
        </w:rPr>
        <w:t>建设用地土壤污染修复工程环境监理的工作程序见图1。</w:t>
      </w:r>
    </w:p>
    <w:p>
      <w:pPr>
        <w:spacing w:line="360" w:lineRule="auto"/>
        <w:jc w:val="center"/>
        <w:rPr>
          <w:rFonts w:ascii="Times New Roman" w:hAnsi="Times New Roman" w:cs="Times New Roman"/>
          <w:color w:val="auto"/>
          <w:sz w:val="24"/>
          <w:szCs w:val="24"/>
        </w:rPr>
      </w:pPr>
      <w:r>
        <w:rPr>
          <w:rFonts w:ascii="Times New Roman" w:hAnsi="Times New Roman" w:cs="Times New Roman"/>
          <w:color w:val="auto"/>
        </w:rPr>
        <w:object>
          <v:shape id="_x0000_i1025" o:spt="75" type="#_x0000_t75" style="height:410.5pt;width:418pt;" o:ole="t" filled="f" o:preferrelative="t" stroked="f" coordsize="21600,21600">
            <v:path/>
            <v:fill on="f" focussize="0,0"/>
            <v:stroke on="f" joinstyle="miter"/>
            <v:imagedata r:id="rId17" o:title=""/>
            <o:lock v:ext="edit" aspectratio="t"/>
            <w10:wrap type="none"/>
            <w10:anchorlock/>
          </v:shape>
          <o:OLEObject Type="Embed" ProgID="Visio.Drawing.11" ShapeID="_x0000_i1025" DrawAspect="Content" ObjectID="_1468075725" r:id="rId16">
            <o:LockedField>false</o:LockedField>
          </o:OLEObject>
        </w:object>
      </w:r>
    </w:p>
    <w:p>
      <w:pPr>
        <w:numPr>
          <w:ilvl w:val="0"/>
          <w:numId w:val="10"/>
        </w:numPr>
        <w:autoSpaceDE w:val="0"/>
        <w:autoSpaceDN w:val="0"/>
        <w:adjustRightInd w:val="0"/>
        <w:spacing w:line="360" w:lineRule="auto"/>
        <w:ind w:left="41" w:leftChars="-135" w:hanging="324" w:hangingChars="135"/>
        <w:jc w:val="center"/>
        <w:rPr>
          <w:rFonts w:ascii="Times New Roman" w:hAnsi="Times New Roman" w:cs="Times New Roman"/>
          <w:color w:val="auto"/>
          <w:sz w:val="24"/>
          <w:szCs w:val="24"/>
        </w:rPr>
      </w:pPr>
      <w:bookmarkStart w:id="89" w:name="_Hlk495581700"/>
      <w:r>
        <w:rPr>
          <w:rFonts w:ascii="Times New Roman" w:hAnsi="Times New Roman" w:eastAsia="等线" w:cs="Times New Roman"/>
          <w:b/>
          <w:color w:val="auto"/>
          <w:sz w:val="24"/>
          <w:szCs w:val="24"/>
        </w:rPr>
        <w:t>图 1 广东省建设用地土壤污染修复工程环境监理工作程</w:t>
      </w:r>
      <w:bookmarkEnd w:id="89"/>
      <w:r>
        <w:rPr>
          <w:rFonts w:ascii="Times New Roman" w:hAnsi="Times New Roman" w:eastAsia="等线" w:cs="Times New Roman"/>
          <w:b/>
          <w:color w:val="auto"/>
          <w:sz w:val="24"/>
          <w:szCs w:val="24"/>
        </w:rPr>
        <w:t>序</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szCs w:val="24"/>
        </w:rPr>
        <w:sectPr>
          <w:footerReference r:id="rId6" w:type="default"/>
          <w:pgSz w:w="11907" w:h="16839"/>
          <w:pgMar w:top="1440" w:right="1440" w:bottom="1440" w:left="1440" w:header="1418" w:footer="851" w:gutter="0"/>
          <w:pgNumType w:start="1"/>
          <w:cols w:space="720" w:num="1"/>
          <w:docGrid w:type="lines" w:linePitch="312" w:charSpace="0"/>
        </w:sectPr>
      </w:pPr>
    </w:p>
    <w:p>
      <w:pPr>
        <w:pStyle w:val="2"/>
        <w:keepLines w:val="0"/>
        <w:numPr>
          <w:ilvl w:val="1"/>
          <w:numId w:val="9"/>
        </w:numPr>
        <w:snapToGrid w:val="0"/>
        <w:spacing w:before="240" w:beforeLines="100" w:after="240" w:afterLines="100" w:line="360" w:lineRule="auto"/>
        <w:ind w:right="210" w:rightChars="100"/>
        <w:rPr>
          <w:rFonts w:eastAsia="黑体"/>
          <w:b w:val="0"/>
          <w:bCs w:val="0"/>
          <w:color w:val="auto"/>
          <w:kern w:val="10"/>
          <w:sz w:val="24"/>
          <w:szCs w:val="24"/>
        </w:rPr>
      </w:pPr>
      <w:bookmarkStart w:id="90" w:name="_Toc503423634"/>
      <w:bookmarkEnd w:id="90"/>
      <w:bookmarkStart w:id="91" w:name="_Toc503423635"/>
      <w:bookmarkEnd w:id="91"/>
      <w:bookmarkStart w:id="92" w:name="_Toc503423632"/>
      <w:bookmarkEnd w:id="92"/>
      <w:bookmarkStart w:id="93" w:name="_Toc503423631"/>
      <w:bookmarkEnd w:id="93"/>
      <w:bookmarkStart w:id="94" w:name="_Toc503423633"/>
      <w:bookmarkEnd w:id="94"/>
      <w:bookmarkStart w:id="95" w:name="_Toc518003033"/>
      <w:bookmarkEnd w:id="95"/>
      <w:bookmarkStart w:id="96" w:name="_Toc518003707"/>
      <w:bookmarkEnd w:id="96"/>
      <w:bookmarkStart w:id="97" w:name="_Toc10950"/>
      <w:bookmarkStart w:id="98" w:name="_Toc512528991"/>
      <w:bookmarkStart w:id="99" w:name="_Toc496543201"/>
      <w:r>
        <w:rPr>
          <w:rFonts w:eastAsia="黑体"/>
          <w:b w:val="0"/>
          <w:bCs w:val="0"/>
          <w:color w:val="auto"/>
          <w:kern w:val="10"/>
          <w:sz w:val="24"/>
          <w:szCs w:val="24"/>
        </w:rPr>
        <w:t>工作方法</w:t>
      </w:r>
      <w:bookmarkEnd w:id="97"/>
    </w:p>
    <w:p>
      <w:pPr>
        <w:pStyle w:val="58"/>
        <w:numPr>
          <w:ilvl w:val="2"/>
          <w:numId w:val="9"/>
        </w:numPr>
        <w:spacing w:line="360" w:lineRule="auto"/>
        <w:ind w:left="0"/>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核查</w:t>
      </w:r>
    </w:p>
    <w:p>
      <w:pPr>
        <w:pStyle w:val="59"/>
        <w:spacing w:line="360" w:lineRule="auto"/>
        <w:ind w:firstLine="480"/>
        <w:rPr>
          <w:rFonts w:ascii="Times New Roman" w:hAnsi="Times New Roman" w:cs="Times New Roman"/>
          <w:color w:val="auto"/>
          <w:sz w:val="24"/>
          <w:szCs w:val="24"/>
        </w:rPr>
      </w:pPr>
      <w:r>
        <w:rPr>
          <w:rFonts w:ascii="Times New Roman" w:hAnsi="Times New Roman" w:cs="Times New Roman"/>
          <w:color w:val="auto"/>
          <w:sz w:val="24"/>
          <w:szCs w:val="24"/>
        </w:rPr>
        <w:t>依照相关管理文件和技术文件，对土壤污染修复工程实施各个阶段</w:t>
      </w:r>
      <w:r>
        <w:rPr>
          <w:rFonts w:hint="eastAsia" w:ascii="Times New Roman" w:hAnsi="Times New Roman" w:cs="Times New Roman"/>
          <w:color w:val="auto"/>
          <w:sz w:val="24"/>
          <w:szCs w:val="24"/>
        </w:rPr>
        <w:t>涉及</w:t>
      </w:r>
      <w:r>
        <w:rPr>
          <w:rFonts w:ascii="Times New Roman" w:hAnsi="Times New Roman" w:cs="Times New Roman"/>
          <w:color w:val="auto"/>
          <w:sz w:val="24"/>
          <w:szCs w:val="24"/>
        </w:rPr>
        <w:t>二次污染防治等相关措施的落实情况进行核实和检查。</w:t>
      </w:r>
    </w:p>
    <w:p>
      <w:pPr>
        <w:pStyle w:val="58"/>
        <w:numPr>
          <w:ilvl w:val="2"/>
          <w:numId w:val="9"/>
        </w:numPr>
        <w:spacing w:line="360" w:lineRule="auto"/>
        <w:ind w:left="0"/>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巡视</w:t>
      </w:r>
    </w:p>
    <w:p>
      <w:pPr>
        <w:pStyle w:val="59"/>
        <w:spacing w:line="360" w:lineRule="auto"/>
        <w:ind w:firstLine="480"/>
        <w:rPr>
          <w:rFonts w:ascii="Times New Roman" w:hAnsi="Times New Roman" w:cs="Times New Roman"/>
          <w:color w:val="auto"/>
          <w:sz w:val="24"/>
          <w:szCs w:val="24"/>
        </w:rPr>
      </w:pPr>
      <w:r>
        <w:rPr>
          <w:rFonts w:ascii="Times New Roman" w:hAnsi="Times New Roman" w:cs="Times New Roman"/>
          <w:color w:val="auto"/>
          <w:sz w:val="24"/>
          <w:szCs w:val="24"/>
        </w:rPr>
        <w:t>环境监理单位对土壤污染修复工程现场进行的定期或不定期的巡行视察活动。</w:t>
      </w:r>
    </w:p>
    <w:p>
      <w:pPr>
        <w:pStyle w:val="58"/>
        <w:numPr>
          <w:ilvl w:val="2"/>
          <w:numId w:val="9"/>
        </w:numPr>
        <w:spacing w:line="360" w:lineRule="auto"/>
        <w:ind w:left="0"/>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旁站</w:t>
      </w:r>
    </w:p>
    <w:p>
      <w:pPr>
        <w:pStyle w:val="59"/>
        <w:spacing w:line="360" w:lineRule="auto"/>
        <w:ind w:firstLine="480"/>
        <w:rPr>
          <w:rFonts w:ascii="Times New Roman" w:hAnsi="Times New Roman" w:cs="Times New Roman"/>
          <w:color w:val="auto"/>
          <w:sz w:val="24"/>
          <w:szCs w:val="24"/>
        </w:rPr>
      </w:pPr>
      <w:r>
        <w:rPr>
          <w:rFonts w:ascii="Times New Roman" w:hAnsi="Times New Roman" w:cs="Times New Roman"/>
          <w:color w:val="auto"/>
          <w:sz w:val="24"/>
          <w:szCs w:val="24"/>
        </w:rPr>
        <w:t>环境监理单位对</w:t>
      </w:r>
      <w:r>
        <w:rPr>
          <w:rFonts w:hint="eastAsia" w:ascii="Times New Roman" w:hAnsi="Times New Roman" w:cs="Times New Roman"/>
          <w:color w:val="auto"/>
          <w:sz w:val="24"/>
          <w:szCs w:val="24"/>
        </w:rPr>
        <w:t>土壤污染</w:t>
      </w:r>
      <w:r>
        <w:rPr>
          <w:rFonts w:ascii="Times New Roman" w:hAnsi="Times New Roman" w:cs="Times New Roman"/>
          <w:color w:val="auto"/>
          <w:sz w:val="24"/>
          <w:szCs w:val="24"/>
        </w:rPr>
        <w:t>修复工程的关键部位或关键工序进行的监督活动。</w:t>
      </w:r>
    </w:p>
    <w:p>
      <w:pPr>
        <w:pStyle w:val="58"/>
        <w:numPr>
          <w:ilvl w:val="2"/>
          <w:numId w:val="9"/>
        </w:numPr>
        <w:spacing w:line="360" w:lineRule="auto"/>
        <w:ind w:left="0"/>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环境监理会议</w:t>
      </w:r>
    </w:p>
    <w:p>
      <w:pPr>
        <w:spacing w:line="360" w:lineRule="auto"/>
        <w:ind w:firstLine="480" w:firstLineChars="200"/>
        <w:rPr>
          <w:rFonts w:ascii="Times New Roman" w:hAnsi="Times New Roman" w:cs="Times New Roman"/>
          <w:color w:val="auto"/>
          <w:sz w:val="24"/>
          <w:szCs w:val="24"/>
        </w:rPr>
      </w:pPr>
      <w:r>
        <w:rPr>
          <w:rFonts w:ascii="Times New Roman" w:hAnsi="Times New Roman" w:cs="Times New Roman"/>
          <w:color w:val="auto"/>
          <w:sz w:val="24"/>
          <w:szCs w:val="24"/>
        </w:rPr>
        <w:t>环境监理单位定期或不定期召开的环境监理会议，包括环境监理技术交底会、环境监理例会、专题会议和现场协调会等。会议由环境监理项目负责人或其授权的环境监理人员主持，土壤污染修复工程相关单位派员参加。会议重点记录参会单位和人员、讨论和研究的问题、协商一致的意见及其</w:t>
      </w:r>
      <w:r>
        <w:rPr>
          <w:rFonts w:hint="eastAsia" w:ascii="Times New Roman" w:hAnsi="Times New Roman" w:cs="Times New Roman"/>
          <w:color w:val="auto"/>
          <w:sz w:val="24"/>
          <w:szCs w:val="24"/>
        </w:rPr>
        <w:t>他</w:t>
      </w:r>
      <w:r>
        <w:rPr>
          <w:rFonts w:ascii="Times New Roman" w:hAnsi="Times New Roman" w:cs="Times New Roman"/>
          <w:color w:val="auto"/>
          <w:sz w:val="24"/>
          <w:szCs w:val="24"/>
        </w:rPr>
        <w:t>相关要求等。</w:t>
      </w:r>
    </w:p>
    <w:p>
      <w:pPr>
        <w:pStyle w:val="58"/>
        <w:numPr>
          <w:ilvl w:val="2"/>
          <w:numId w:val="9"/>
        </w:numPr>
        <w:spacing w:line="360" w:lineRule="auto"/>
        <w:ind w:left="0"/>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环境监测</w:t>
      </w:r>
    </w:p>
    <w:p>
      <w:pPr>
        <w:pStyle w:val="59"/>
        <w:spacing w:line="360" w:lineRule="auto"/>
        <w:ind w:firstLine="480"/>
        <w:rPr>
          <w:rFonts w:ascii="Times New Roman" w:hAnsi="Times New Roman" w:cs="Times New Roman"/>
          <w:color w:val="auto"/>
          <w:sz w:val="24"/>
          <w:szCs w:val="24"/>
        </w:rPr>
      </w:pPr>
      <w:r>
        <w:rPr>
          <w:rFonts w:ascii="Times New Roman" w:hAnsi="Times New Roman" w:cs="Times New Roman"/>
          <w:color w:val="auto"/>
          <w:sz w:val="24"/>
          <w:szCs w:val="24"/>
        </w:rPr>
        <w:t>为掌握土壤污染修复工程实施过程中污染物排放及环境影响情况，环境监理单位</w:t>
      </w:r>
      <w:r>
        <w:rPr>
          <w:rFonts w:hint="eastAsia" w:ascii="Times New Roman" w:hAnsi="Times New Roman" w:cs="Times New Roman"/>
          <w:color w:val="auto"/>
          <w:sz w:val="24"/>
          <w:szCs w:val="24"/>
        </w:rPr>
        <w:t>可通过</w:t>
      </w:r>
      <w:r>
        <w:rPr>
          <w:rFonts w:ascii="Times New Roman" w:hAnsi="Times New Roman" w:cs="Times New Roman"/>
          <w:color w:val="auto"/>
          <w:sz w:val="24"/>
          <w:szCs w:val="24"/>
        </w:rPr>
        <w:t>使用便携式环境监测仪器</w:t>
      </w:r>
      <w:r>
        <w:rPr>
          <w:rFonts w:hint="eastAsia" w:ascii="Times New Roman" w:hAnsi="Times New Roman" w:cs="Times New Roman"/>
          <w:color w:val="auto"/>
          <w:sz w:val="24"/>
          <w:szCs w:val="24"/>
        </w:rPr>
        <w:t>、</w:t>
      </w:r>
      <w:r>
        <w:rPr>
          <w:rFonts w:ascii="Times New Roman" w:hAnsi="Times New Roman" w:cs="Times New Roman"/>
          <w:color w:val="auto"/>
          <w:sz w:val="24"/>
          <w:szCs w:val="24"/>
        </w:rPr>
        <w:t>委托有资质的环境监测单位进行环境监测，辅助环境监理工作。</w:t>
      </w:r>
    </w:p>
    <w:p>
      <w:pPr>
        <w:pStyle w:val="58"/>
        <w:numPr>
          <w:ilvl w:val="2"/>
          <w:numId w:val="9"/>
        </w:numPr>
        <w:spacing w:line="360" w:lineRule="auto"/>
        <w:ind w:left="0"/>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记录</w:t>
      </w:r>
    </w:p>
    <w:p>
      <w:pPr>
        <w:pStyle w:val="59"/>
        <w:spacing w:line="360" w:lineRule="auto"/>
        <w:ind w:firstLine="480"/>
        <w:rPr>
          <w:rFonts w:ascii="Times New Roman" w:hAnsi="Times New Roman" w:cs="Times New Roman"/>
          <w:color w:val="auto"/>
          <w:sz w:val="24"/>
          <w:szCs w:val="24"/>
        </w:rPr>
      </w:pPr>
      <w:r>
        <w:rPr>
          <w:rFonts w:ascii="Times New Roman" w:hAnsi="Times New Roman" w:cs="Times New Roman"/>
          <w:color w:val="auto"/>
          <w:sz w:val="24"/>
          <w:szCs w:val="24"/>
        </w:rPr>
        <w:t>包括环境监理日志、会议记录</w:t>
      </w:r>
      <w:r>
        <w:rPr>
          <w:rFonts w:hint="eastAsia" w:ascii="Times New Roman" w:hAnsi="Times New Roman" w:cs="Times New Roman"/>
          <w:color w:val="auto"/>
          <w:sz w:val="24"/>
          <w:szCs w:val="24"/>
        </w:rPr>
        <w:t>、现场巡视和旁站记录、监测记录</w:t>
      </w:r>
      <w:r>
        <w:rPr>
          <w:rFonts w:ascii="Times New Roman" w:hAnsi="Times New Roman" w:cs="Times New Roman"/>
          <w:color w:val="auto"/>
          <w:sz w:val="24"/>
          <w:szCs w:val="24"/>
        </w:rPr>
        <w:t>等，记录形式包括文字、数据、图表和影像等。</w:t>
      </w:r>
    </w:p>
    <w:p>
      <w:pPr>
        <w:pStyle w:val="58"/>
        <w:numPr>
          <w:ilvl w:val="2"/>
          <w:numId w:val="9"/>
        </w:numPr>
        <w:spacing w:line="360" w:lineRule="auto"/>
        <w:ind w:left="0"/>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环境监理日志</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szCs w:val="24"/>
        </w:rPr>
      </w:pPr>
      <w:r>
        <w:rPr>
          <w:rFonts w:ascii="Times New Roman" w:hAnsi="Times New Roman" w:cs="Times New Roman"/>
          <w:color w:val="auto"/>
          <w:sz w:val="24"/>
          <w:szCs w:val="24"/>
        </w:rPr>
        <w:t>环境监理人员针对每日的土壤污染修复工程</w:t>
      </w:r>
      <w:r>
        <w:rPr>
          <w:rFonts w:hint="eastAsia" w:ascii="Times New Roman" w:hAnsi="Times New Roman" w:cs="Times New Roman"/>
          <w:color w:val="auto"/>
          <w:sz w:val="24"/>
          <w:szCs w:val="24"/>
        </w:rPr>
        <w:t>中二次污染防治情况</w:t>
      </w:r>
      <w:r>
        <w:rPr>
          <w:rFonts w:ascii="Times New Roman" w:hAnsi="Times New Roman" w:cs="Times New Roman"/>
          <w:color w:val="auto"/>
          <w:sz w:val="24"/>
          <w:szCs w:val="24"/>
        </w:rPr>
        <w:t>进行记录，形成环境监理日志，重点记录二次污染防治</w:t>
      </w:r>
      <w:r>
        <w:rPr>
          <w:rFonts w:hint="eastAsia" w:ascii="Times New Roman" w:hAnsi="Times New Roman" w:cs="Times New Roman"/>
          <w:color w:val="auto"/>
          <w:sz w:val="24"/>
          <w:szCs w:val="24"/>
        </w:rPr>
        <w:t>措施落实</w:t>
      </w:r>
      <w:r>
        <w:rPr>
          <w:rFonts w:ascii="Times New Roman" w:hAnsi="Times New Roman" w:cs="Times New Roman"/>
          <w:color w:val="auto"/>
          <w:sz w:val="24"/>
          <w:szCs w:val="24"/>
        </w:rPr>
        <w:t>状况、</w:t>
      </w:r>
      <w:r>
        <w:rPr>
          <w:rFonts w:hint="eastAsia" w:ascii="Times New Roman" w:hAnsi="Times New Roman" w:cs="Times New Roman"/>
          <w:color w:val="auto"/>
          <w:sz w:val="24"/>
          <w:szCs w:val="24"/>
        </w:rPr>
        <w:t>监测记录、</w:t>
      </w:r>
      <w:r>
        <w:rPr>
          <w:rFonts w:ascii="Times New Roman" w:hAnsi="Times New Roman" w:cs="Times New Roman"/>
          <w:color w:val="auto"/>
          <w:sz w:val="24"/>
          <w:szCs w:val="24"/>
        </w:rPr>
        <w:t>往来信息、</w:t>
      </w:r>
      <w:r>
        <w:rPr>
          <w:rFonts w:hint="eastAsia" w:ascii="Times New Roman" w:hAnsi="Times New Roman" w:cs="Times New Roman"/>
          <w:color w:val="auto"/>
          <w:sz w:val="24"/>
          <w:szCs w:val="24"/>
        </w:rPr>
        <w:t>突发环境事件</w:t>
      </w:r>
      <w:r>
        <w:rPr>
          <w:rFonts w:ascii="Times New Roman" w:hAnsi="Times New Roman" w:cs="Times New Roman"/>
          <w:color w:val="auto"/>
          <w:sz w:val="24"/>
          <w:szCs w:val="24"/>
        </w:rPr>
        <w:t>、存在问题及相应处理措施等工作情况。</w:t>
      </w:r>
    </w:p>
    <w:p>
      <w:pPr>
        <w:pStyle w:val="58"/>
        <w:numPr>
          <w:ilvl w:val="2"/>
          <w:numId w:val="9"/>
        </w:numPr>
        <w:spacing w:line="360" w:lineRule="auto"/>
        <w:ind w:left="0"/>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文件</w:t>
      </w:r>
    </w:p>
    <w:p>
      <w:pPr>
        <w:pStyle w:val="59"/>
        <w:spacing w:line="360" w:lineRule="auto"/>
        <w:ind w:firstLine="480"/>
        <w:rPr>
          <w:rFonts w:ascii="Times New Roman" w:hAnsi="Times New Roman" w:cs="Times New Roman"/>
          <w:color w:val="auto"/>
          <w:sz w:val="24"/>
          <w:szCs w:val="24"/>
        </w:rPr>
      </w:pPr>
      <w:r>
        <w:rPr>
          <w:rFonts w:ascii="Times New Roman" w:hAnsi="Times New Roman" w:cs="Times New Roman"/>
          <w:color w:val="auto"/>
          <w:sz w:val="24"/>
          <w:szCs w:val="24"/>
        </w:rPr>
        <w:t>环境监理单位采用环境监理工作联系单、整改通知单、停工通知单以及复工指令单等文件形式开展环境监理。</w:t>
      </w:r>
    </w:p>
    <w:p>
      <w:pPr>
        <w:pStyle w:val="59"/>
        <w:spacing w:line="360" w:lineRule="auto"/>
        <w:ind w:firstLine="480"/>
        <w:rPr>
          <w:rFonts w:ascii="Times New Roman" w:hAnsi="Times New Roman" w:cs="Times New Roman"/>
          <w:color w:val="auto"/>
          <w:sz w:val="24"/>
          <w:szCs w:val="24"/>
        </w:rPr>
      </w:pPr>
      <w:r>
        <w:rPr>
          <w:rFonts w:ascii="Times New Roman" w:hAnsi="Times New Roman" w:cs="Times New Roman"/>
          <w:color w:val="auto"/>
          <w:sz w:val="24"/>
          <w:szCs w:val="24"/>
        </w:rPr>
        <w:t>环境监理相关文件格式可参照附1。</w:t>
      </w:r>
    </w:p>
    <w:p>
      <w:pPr>
        <w:pStyle w:val="58"/>
        <w:numPr>
          <w:ilvl w:val="2"/>
          <w:numId w:val="9"/>
        </w:numPr>
        <w:spacing w:line="360" w:lineRule="auto"/>
        <w:ind w:left="0"/>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跟踪检查</w:t>
      </w:r>
    </w:p>
    <w:p>
      <w:pPr>
        <w:pStyle w:val="59"/>
        <w:spacing w:line="360" w:lineRule="auto"/>
        <w:ind w:firstLine="480"/>
        <w:jc w:val="left"/>
        <w:rPr>
          <w:rFonts w:ascii="Times New Roman" w:hAnsi="Times New Roman" w:cs="Times New Roman"/>
          <w:color w:val="auto"/>
        </w:rPr>
      </w:pPr>
      <w:r>
        <w:rPr>
          <w:rFonts w:ascii="Times New Roman" w:hAnsi="Times New Roman" w:cs="Times New Roman"/>
          <w:color w:val="auto"/>
          <w:sz w:val="24"/>
          <w:szCs w:val="24"/>
        </w:rPr>
        <w:t>环境监理单位对其发出文件的执行情况进行检查落实，监督施工单位严格执行的过程。</w:t>
      </w:r>
    </w:p>
    <w:p>
      <w:pPr>
        <w:pStyle w:val="2"/>
        <w:keepLines w:val="0"/>
        <w:numPr>
          <w:ilvl w:val="1"/>
          <w:numId w:val="9"/>
        </w:numPr>
        <w:snapToGrid w:val="0"/>
        <w:spacing w:before="240" w:beforeLines="100" w:after="240" w:afterLines="100" w:line="360" w:lineRule="auto"/>
        <w:ind w:right="210" w:rightChars="100"/>
        <w:rPr>
          <w:rFonts w:eastAsia="黑体"/>
          <w:b w:val="0"/>
          <w:bCs w:val="0"/>
          <w:color w:val="auto"/>
          <w:kern w:val="10"/>
          <w:sz w:val="24"/>
          <w:szCs w:val="24"/>
        </w:rPr>
      </w:pPr>
      <w:bookmarkStart w:id="100" w:name="_Toc18747"/>
      <w:r>
        <w:rPr>
          <w:rFonts w:eastAsia="黑体"/>
          <w:b w:val="0"/>
          <w:bCs w:val="0"/>
          <w:color w:val="auto"/>
          <w:kern w:val="10"/>
          <w:sz w:val="24"/>
          <w:szCs w:val="24"/>
        </w:rPr>
        <w:t>工作内容</w:t>
      </w:r>
      <w:bookmarkEnd w:id="98"/>
      <w:bookmarkEnd w:id="100"/>
      <w:r>
        <w:rPr>
          <w:rFonts w:eastAsia="黑体"/>
          <w:b w:val="0"/>
          <w:bCs w:val="0"/>
          <w:color w:val="auto"/>
          <w:kern w:val="10"/>
          <w:sz w:val="24"/>
          <w:szCs w:val="24"/>
        </w:rPr>
        <w:tab/>
      </w:r>
    </w:p>
    <w:p>
      <w:pPr>
        <w:pStyle w:val="58"/>
        <w:numPr>
          <w:ilvl w:val="2"/>
          <w:numId w:val="9"/>
        </w:numPr>
        <w:spacing w:line="360" w:lineRule="auto"/>
        <w:ind w:left="0"/>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环境监理准备</w:t>
      </w:r>
    </w:p>
    <w:p>
      <w:pPr>
        <w:pStyle w:val="59"/>
        <w:numPr>
          <w:ilvl w:val="0"/>
          <w:numId w:val="10"/>
        </w:numPr>
        <w:adjustRightInd w:val="0"/>
        <w:spacing w:line="360" w:lineRule="auto"/>
        <w:ind w:firstLine="480"/>
        <w:jc w:val="left"/>
        <w:rPr>
          <w:rFonts w:ascii="Times New Roman" w:hAnsi="Times New Roman" w:cs="Times New Roman"/>
          <w:color w:val="auto"/>
          <w:sz w:val="24"/>
          <w:szCs w:val="24"/>
        </w:rPr>
      </w:pPr>
      <w:r>
        <w:rPr>
          <w:rFonts w:ascii="Times New Roman" w:hAnsi="Times New Roman" w:cs="Times New Roman"/>
          <w:color w:val="auto"/>
          <w:sz w:val="24"/>
          <w:szCs w:val="24"/>
        </w:rPr>
        <w:t>接受</w:t>
      </w:r>
      <w:r>
        <w:rPr>
          <w:rFonts w:hint="eastAsia" w:ascii="Times New Roman" w:hAnsi="Times New Roman" w:cs="Times New Roman"/>
          <w:color w:val="auto"/>
          <w:sz w:val="24"/>
          <w:szCs w:val="24"/>
        </w:rPr>
        <w:t>土壤污染修复责任主体</w:t>
      </w:r>
      <w:r>
        <w:rPr>
          <w:rFonts w:ascii="Times New Roman" w:hAnsi="Times New Roman" w:cs="Times New Roman"/>
          <w:color w:val="auto"/>
          <w:sz w:val="24"/>
          <w:szCs w:val="24"/>
        </w:rPr>
        <w:t>委托后，环境监理单位开展环境监理设施设备和人员准备，收集相关资料，进行现场踏勘，参加技术交底会议等。</w:t>
      </w:r>
    </w:p>
    <w:p>
      <w:pPr>
        <w:pStyle w:val="58"/>
        <w:numPr>
          <w:ilvl w:val="3"/>
          <w:numId w:val="9"/>
        </w:numPr>
        <w:spacing w:line="360" w:lineRule="auto"/>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设施设备准备</w:t>
      </w:r>
    </w:p>
    <w:p>
      <w:pPr>
        <w:pStyle w:val="59"/>
        <w:spacing w:line="360" w:lineRule="auto"/>
        <w:ind w:firstLine="480"/>
        <w:rPr>
          <w:rFonts w:ascii="Times New Roman" w:hAnsi="Times New Roman" w:cs="Times New Roman"/>
          <w:color w:val="auto"/>
          <w:sz w:val="24"/>
          <w:szCs w:val="24"/>
        </w:rPr>
      </w:pPr>
      <w:r>
        <w:rPr>
          <w:rFonts w:ascii="Times New Roman" w:hAnsi="Times New Roman" w:cs="Times New Roman"/>
          <w:color w:val="auto"/>
          <w:sz w:val="24"/>
          <w:szCs w:val="24"/>
        </w:rPr>
        <w:t>环境监理单位根据</w:t>
      </w:r>
      <w:r>
        <w:rPr>
          <w:rFonts w:hint="eastAsia" w:ascii="Times New Roman" w:hAnsi="Times New Roman" w:cs="Times New Roman"/>
          <w:color w:val="auto"/>
          <w:sz w:val="24"/>
          <w:szCs w:val="24"/>
        </w:rPr>
        <w:t>土壤污染</w:t>
      </w:r>
      <w:r>
        <w:rPr>
          <w:rFonts w:ascii="Times New Roman" w:hAnsi="Times New Roman" w:cs="Times New Roman"/>
          <w:color w:val="auto"/>
          <w:sz w:val="24"/>
          <w:szCs w:val="24"/>
        </w:rPr>
        <w:t>修复工程类型、规模和</w:t>
      </w:r>
      <w:r>
        <w:rPr>
          <w:rFonts w:hint="eastAsia" w:ascii="Times New Roman" w:hAnsi="Times New Roman" w:cs="Times New Roman"/>
          <w:color w:val="auto"/>
          <w:sz w:val="24"/>
          <w:szCs w:val="24"/>
        </w:rPr>
        <w:t>二次污染防治</w:t>
      </w:r>
      <w:r>
        <w:rPr>
          <w:rFonts w:ascii="Times New Roman" w:hAnsi="Times New Roman" w:cs="Times New Roman"/>
          <w:color w:val="auto"/>
          <w:sz w:val="24"/>
          <w:szCs w:val="24"/>
        </w:rPr>
        <w:t>要求配置监理设施设备，包括开展工作需要的办公、交通、通讯和生活设施，以及满足项目需求的常规设备和工具。</w:t>
      </w:r>
    </w:p>
    <w:p>
      <w:pPr>
        <w:pStyle w:val="58"/>
        <w:numPr>
          <w:ilvl w:val="3"/>
          <w:numId w:val="9"/>
        </w:numPr>
        <w:spacing w:line="360" w:lineRule="auto"/>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人员准备</w:t>
      </w:r>
    </w:p>
    <w:p>
      <w:pPr>
        <w:pStyle w:val="59"/>
        <w:spacing w:line="360" w:lineRule="auto"/>
        <w:ind w:firstLine="480"/>
        <w:rPr>
          <w:rFonts w:ascii="Times New Roman" w:hAnsi="Times New Roman" w:cs="Times New Roman"/>
          <w:color w:val="auto"/>
          <w:sz w:val="24"/>
          <w:szCs w:val="24"/>
        </w:rPr>
      </w:pPr>
      <w:r>
        <w:rPr>
          <w:rFonts w:ascii="Times New Roman" w:hAnsi="Times New Roman" w:cs="Times New Roman"/>
          <w:color w:val="auto"/>
          <w:sz w:val="24"/>
          <w:szCs w:val="24"/>
        </w:rPr>
        <w:t>环境监理单位根据</w:t>
      </w:r>
      <w:r>
        <w:rPr>
          <w:rFonts w:hint="eastAsia" w:ascii="Times New Roman" w:hAnsi="Times New Roman" w:cs="Times New Roman"/>
          <w:color w:val="auto"/>
          <w:sz w:val="24"/>
          <w:szCs w:val="24"/>
        </w:rPr>
        <w:t>土壤污染</w:t>
      </w:r>
      <w:r>
        <w:rPr>
          <w:rFonts w:ascii="Times New Roman" w:hAnsi="Times New Roman" w:cs="Times New Roman"/>
          <w:color w:val="auto"/>
          <w:sz w:val="24"/>
          <w:szCs w:val="24"/>
        </w:rPr>
        <w:t>修复工程需求配置环境监理人员，包括环境监理项目负责人和其他环境监理人员，并明确各环境监理人员</w:t>
      </w:r>
      <w:r>
        <w:rPr>
          <w:rFonts w:hint="eastAsia" w:ascii="Times New Roman" w:hAnsi="Times New Roman" w:cs="Times New Roman"/>
          <w:color w:val="auto"/>
          <w:sz w:val="24"/>
          <w:szCs w:val="24"/>
        </w:rPr>
        <w:t>的工作内容</w:t>
      </w:r>
      <w:r>
        <w:rPr>
          <w:rFonts w:ascii="Times New Roman" w:hAnsi="Times New Roman" w:cs="Times New Roman"/>
          <w:color w:val="auto"/>
          <w:sz w:val="24"/>
          <w:szCs w:val="24"/>
        </w:rPr>
        <w:t>。</w:t>
      </w:r>
    </w:p>
    <w:p>
      <w:pPr>
        <w:numPr>
          <w:ilvl w:val="0"/>
          <w:numId w:val="11"/>
        </w:numPr>
        <w:autoSpaceDE w:val="0"/>
        <w:autoSpaceDN w:val="0"/>
        <w:adjustRightInd w:val="0"/>
        <w:spacing w:line="360" w:lineRule="auto"/>
        <w:ind w:left="0" w:firstLine="420"/>
        <w:jc w:val="left"/>
        <w:outlineLvl w:val="3"/>
        <w:rPr>
          <w:rFonts w:ascii="Times New Roman" w:hAnsi="Times New Roman" w:eastAsia="黑体" w:cs="Times New Roman"/>
          <w:color w:val="auto"/>
          <w:kern w:val="0"/>
          <w:sz w:val="24"/>
          <w:szCs w:val="24"/>
        </w:rPr>
      </w:pPr>
      <w:r>
        <w:rPr>
          <w:rFonts w:ascii="Times New Roman" w:hAnsi="Times New Roman" w:eastAsia="黑体" w:cs="Times New Roman"/>
          <w:color w:val="auto"/>
          <w:kern w:val="0"/>
          <w:sz w:val="24"/>
          <w:szCs w:val="24"/>
        </w:rPr>
        <w:t>环境监理项目负责人</w:t>
      </w:r>
    </w:p>
    <w:p>
      <w:pPr>
        <w:numPr>
          <w:ilvl w:val="0"/>
          <w:numId w:val="12"/>
        </w:numPr>
        <w:autoSpaceDE w:val="0"/>
        <w:autoSpaceDN w:val="0"/>
        <w:adjustRightInd w:val="0"/>
        <w:spacing w:line="360" w:lineRule="auto"/>
        <w:ind w:firstLine="463" w:firstLineChars="193"/>
        <w:jc w:val="left"/>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确定环境监理人员的分工和岗位职责，指导环境监理人员开展环境监理工作；</w:t>
      </w:r>
    </w:p>
    <w:p>
      <w:pPr>
        <w:numPr>
          <w:ilvl w:val="0"/>
          <w:numId w:val="12"/>
        </w:numPr>
        <w:autoSpaceDE w:val="0"/>
        <w:autoSpaceDN w:val="0"/>
        <w:adjustRightInd w:val="0"/>
        <w:spacing w:line="360" w:lineRule="auto"/>
        <w:ind w:firstLine="463" w:firstLineChars="193"/>
        <w:jc w:val="left"/>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主持环境监理工作会议、编制环境监理方案，签发修复过程中的环境监理文件；</w:t>
      </w:r>
    </w:p>
    <w:p>
      <w:pPr>
        <w:numPr>
          <w:ilvl w:val="0"/>
          <w:numId w:val="12"/>
        </w:numPr>
        <w:autoSpaceDE w:val="0"/>
        <w:autoSpaceDN w:val="0"/>
        <w:adjustRightInd w:val="0"/>
        <w:spacing w:line="360" w:lineRule="auto"/>
        <w:ind w:firstLine="463" w:firstLineChars="193"/>
        <w:jc w:val="left"/>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处理与环境保护相关</w:t>
      </w:r>
      <w:r>
        <w:rPr>
          <w:rFonts w:hint="eastAsia" w:ascii="Times New Roman" w:hAnsi="Times New Roman" w:eastAsia="宋体" w:cs="Times New Roman"/>
          <w:color w:val="auto"/>
          <w:sz w:val="24"/>
          <w:szCs w:val="24"/>
        </w:rPr>
        <w:t>的</w:t>
      </w:r>
      <w:r>
        <w:rPr>
          <w:rFonts w:ascii="Times New Roman" w:hAnsi="Times New Roman" w:eastAsia="宋体" w:cs="Times New Roman"/>
          <w:color w:val="auto"/>
          <w:sz w:val="24"/>
          <w:szCs w:val="24"/>
        </w:rPr>
        <w:t>变更，参与</w:t>
      </w:r>
      <w:r>
        <w:rPr>
          <w:rFonts w:hint="eastAsia" w:ascii="Times New Roman" w:hAnsi="Times New Roman" w:eastAsia="宋体" w:cs="Times New Roman"/>
          <w:color w:val="auto"/>
          <w:sz w:val="24"/>
          <w:szCs w:val="24"/>
        </w:rPr>
        <w:t>突发环境事件</w:t>
      </w:r>
      <w:r>
        <w:rPr>
          <w:rFonts w:ascii="Times New Roman" w:hAnsi="Times New Roman" w:eastAsia="宋体" w:cs="Times New Roman"/>
          <w:color w:val="auto"/>
          <w:sz w:val="24"/>
          <w:szCs w:val="24"/>
        </w:rPr>
        <w:t>的调查；</w:t>
      </w:r>
    </w:p>
    <w:p>
      <w:pPr>
        <w:numPr>
          <w:ilvl w:val="0"/>
          <w:numId w:val="12"/>
        </w:numPr>
        <w:autoSpaceDE w:val="0"/>
        <w:autoSpaceDN w:val="0"/>
        <w:adjustRightInd w:val="0"/>
        <w:spacing w:line="360" w:lineRule="auto"/>
        <w:ind w:firstLine="463" w:firstLineChars="193"/>
        <w:jc w:val="left"/>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检查环境监理日志，组织编写环境监理</w:t>
      </w:r>
      <w:r>
        <w:rPr>
          <w:rFonts w:hint="eastAsia" w:ascii="Times New Roman" w:hAnsi="Times New Roman" w:eastAsia="宋体" w:cs="Times New Roman"/>
          <w:color w:val="auto"/>
          <w:sz w:val="24"/>
          <w:szCs w:val="24"/>
        </w:rPr>
        <w:t>方案、</w:t>
      </w:r>
      <w:r>
        <w:rPr>
          <w:rFonts w:ascii="Times New Roman" w:hAnsi="Times New Roman" w:eastAsia="宋体" w:cs="Times New Roman"/>
          <w:color w:val="auto"/>
          <w:sz w:val="24"/>
          <w:szCs w:val="24"/>
        </w:rPr>
        <w:t>总结报告。</w:t>
      </w:r>
    </w:p>
    <w:p>
      <w:pPr>
        <w:numPr>
          <w:ilvl w:val="0"/>
          <w:numId w:val="11"/>
        </w:numPr>
        <w:autoSpaceDE w:val="0"/>
        <w:autoSpaceDN w:val="0"/>
        <w:adjustRightInd w:val="0"/>
        <w:spacing w:line="360" w:lineRule="auto"/>
        <w:ind w:left="0" w:firstLine="420"/>
        <w:jc w:val="left"/>
        <w:outlineLvl w:val="3"/>
        <w:rPr>
          <w:rFonts w:ascii="Times New Roman" w:hAnsi="Times New Roman" w:eastAsia="黑体" w:cs="Times New Roman"/>
          <w:color w:val="auto"/>
          <w:kern w:val="0"/>
          <w:sz w:val="24"/>
          <w:szCs w:val="24"/>
        </w:rPr>
      </w:pPr>
      <w:r>
        <w:rPr>
          <w:rFonts w:ascii="Times New Roman" w:hAnsi="Times New Roman" w:eastAsia="黑体" w:cs="Times New Roman"/>
          <w:color w:val="auto"/>
          <w:kern w:val="0"/>
          <w:sz w:val="24"/>
          <w:szCs w:val="24"/>
        </w:rPr>
        <w:t>其他环境监理人员</w:t>
      </w:r>
    </w:p>
    <w:p>
      <w:pPr>
        <w:numPr>
          <w:ilvl w:val="0"/>
          <w:numId w:val="13"/>
        </w:numPr>
        <w:autoSpaceDE w:val="0"/>
        <w:autoSpaceDN w:val="0"/>
        <w:adjustRightInd w:val="0"/>
        <w:spacing w:line="360" w:lineRule="auto"/>
        <w:ind w:firstLine="463" w:firstLineChars="193"/>
        <w:jc w:val="left"/>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参与编制环境监理方案及总结报告等相关文件、负责项目环境监理工作的具体实施；</w:t>
      </w:r>
    </w:p>
    <w:p>
      <w:pPr>
        <w:numPr>
          <w:ilvl w:val="0"/>
          <w:numId w:val="13"/>
        </w:numPr>
        <w:autoSpaceDE w:val="0"/>
        <w:autoSpaceDN w:val="0"/>
        <w:adjustRightInd w:val="0"/>
        <w:spacing w:line="360" w:lineRule="auto"/>
        <w:ind w:firstLine="463" w:firstLineChars="193"/>
        <w:jc w:val="left"/>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在项目负责人的指导下开展现场环境监理工作，填写环境监理日志。</w:t>
      </w:r>
    </w:p>
    <w:p>
      <w:pPr>
        <w:pStyle w:val="58"/>
        <w:numPr>
          <w:ilvl w:val="3"/>
          <w:numId w:val="9"/>
        </w:numPr>
        <w:spacing w:line="360" w:lineRule="auto"/>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收集相关资料</w:t>
      </w:r>
      <w:r>
        <w:rPr>
          <w:rFonts w:ascii="Times New Roman" w:hAnsi="Times New Roman" w:cs="Times New Roman"/>
          <w:color w:val="auto"/>
          <w:sz w:val="24"/>
          <w:szCs w:val="24"/>
          <w:shd w:val="clear" w:color="auto" w:fill="FFFFFF"/>
        </w:rPr>
        <w:tab/>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szCs w:val="24"/>
        </w:rPr>
      </w:pPr>
      <w:r>
        <w:rPr>
          <w:rFonts w:ascii="Times New Roman" w:hAnsi="Times New Roman" w:cs="Times New Roman"/>
          <w:color w:val="auto"/>
          <w:sz w:val="24"/>
          <w:szCs w:val="24"/>
        </w:rPr>
        <w:t>环境监理单位收集资料包括土壤污染修复工程相关的技术报告、相关的法律法规和技术规范等，</w:t>
      </w:r>
      <w:r>
        <w:rPr>
          <w:rFonts w:ascii="Times New Roman" w:hAnsi="Times New Roman" w:cs="Times New Roman"/>
          <w:color w:val="auto"/>
          <w:kern w:val="0"/>
          <w:sz w:val="24"/>
          <w:szCs w:val="24"/>
        </w:rPr>
        <w:t>包括但不限于以下内容：</w:t>
      </w:r>
    </w:p>
    <w:p>
      <w:pPr>
        <w:numPr>
          <w:ilvl w:val="0"/>
          <w:numId w:val="14"/>
        </w:numPr>
        <w:autoSpaceDE w:val="0"/>
        <w:autoSpaceDN w:val="0"/>
        <w:adjustRightInd w:val="0"/>
        <w:spacing w:line="360" w:lineRule="auto"/>
        <w:ind w:firstLine="6"/>
        <w:jc w:val="left"/>
        <w:rPr>
          <w:rFonts w:ascii="Times New Roman" w:hAnsi="Times New Roman" w:cs="Times New Roman"/>
          <w:color w:val="auto"/>
          <w:sz w:val="24"/>
          <w:szCs w:val="24"/>
        </w:rPr>
      </w:pPr>
      <w:r>
        <w:rPr>
          <w:rFonts w:ascii="Times New Roman" w:hAnsi="Times New Roman" w:cs="Times New Roman"/>
          <w:color w:val="auto"/>
          <w:sz w:val="24"/>
          <w:szCs w:val="24"/>
        </w:rPr>
        <w:t>土壤污染状况调查报告、风险评估报告、修复方案等技术文件；</w:t>
      </w:r>
    </w:p>
    <w:p>
      <w:pPr>
        <w:numPr>
          <w:ilvl w:val="0"/>
          <w:numId w:val="14"/>
        </w:numPr>
        <w:autoSpaceDE w:val="0"/>
        <w:autoSpaceDN w:val="0"/>
        <w:adjustRightInd w:val="0"/>
        <w:spacing w:line="360" w:lineRule="auto"/>
        <w:ind w:firstLine="6"/>
        <w:jc w:val="left"/>
        <w:rPr>
          <w:rFonts w:ascii="Times New Roman" w:hAnsi="Times New Roman" w:cs="Times New Roman"/>
          <w:color w:val="auto"/>
          <w:sz w:val="24"/>
          <w:szCs w:val="24"/>
        </w:rPr>
      </w:pPr>
      <w:r>
        <w:rPr>
          <w:rFonts w:ascii="Times New Roman" w:hAnsi="Times New Roman" w:cs="Times New Roman"/>
          <w:color w:val="auto"/>
          <w:sz w:val="24"/>
          <w:szCs w:val="24"/>
        </w:rPr>
        <w:t>地块及周边环境资料；</w:t>
      </w:r>
    </w:p>
    <w:p>
      <w:pPr>
        <w:numPr>
          <w:ilvl w:val="0"/>
          <w:numId w:val="14"/>
        </w:numPr>
        <w:autoSpaceDE w:val="0"/>
        <w:autoSpaceDN w:val="0"/>
        <w:adjustRightInd w:val="0"/>
        <w:spacing w:line="360" w:lineRule="auto"/>
        <w:ind w:firstLine="6"/>
        <w:jc w:val="left"/>
        <w:rPr>
          <w:rFonts w:ascii="Times New Roman" w:hAnsi="Times New Roman" w:cs="Times New Roman"/>
          <w:color w:val="auto"/>
          <w:sz w:val="24"/>
          <w:szCs w:val="24"/>
        </w:rPr>
      </w:pPr>
      <w:r>
        <w:rPr>
          <w:rFonts w:ascii="Times New Roman" w:hAnsi="Times New Roman" w:cs="Times New Roman"/>
          <w:color w:val="auto"/>
          <w:sz w:val="24"/>
          <w:szCs w:val="24"/>
        </w:rPr>
        <w:t>相关法律法规和标准。</w:t>
      </w:r>
    </w:p>
    <w:p>
      <w:pPr>
        <w:pStyle w:val="58"/>
        <w:numPr>
          <w:ilvl w:val="3"/>
          <w:numId w:val="9"/>
        </w:numPr>
        <w:spacing w:line="360" w:lineRule="auto"/>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现场踏勘</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szCs w:val="24"/>
        </w:rPr>
      </w:pPr>
      <w:r>
        <w:rPr>
          <w:rFonts w:ascii="Times New Roman" w:hAnsi="Times New Roman" w:cs="Times New Roman"/>
          <w:color w:val="auto"/>
          <w:kern w:val="0"/>
          <w:sz w:val="24"/>
          <w:szCs w:val="24"/>
        </w:rPr>
        <w:t>环境监理单位对地块及周边区域进行现场踏勘</w:t>
      </w:r>
      <w:r>
        <w:rPr>
          <w:rFonts w:hint="eastAsia" w:ascii="Times New Roman" w:hAnsi="Times New Roman" w:cs="Times New Roman"/>
          <w:color w:val="auto"/>
          <w:sz w:val="24"/>
          <w:szCs w:val="24"/>
        </w:rPr>
        <w:t>，</w:t>
      </w:r>
      <w:r>
        <w:rPr>
          <w:rFonts w:ascii="Times New Roman" w:hAnsi="Times New Roman" w:cs="Times New Roman"/>
          <w:color w:val="auto"/>
          <w:sz w:val="24"/>
          <w:szCs w:val="24"/>
        </w:rPr>
        <w:t>重点关注地块内及地块周边可能受土壤污染修复工程影响的环境敏感区域，如居民点、学校、医院、饮用水源保护区、重要农产品基地及其</w:t>
      </w:r>
      <w:r>
        <w:rPr>
          <w:rFonts w:hint="eastAsia" w:ascii="Times New Roman" w:hAnsi="Times New Roman" w:cs="Times New Roman"/>
          <w:color w:val="auto"/>
          <w:sz w:val="24"/>
          <w:szCs w:val="24"/>
        </w:rPr>
        <w:t>他</w:t>
      </w:r>
      <w:r>
        <w:rPr>
          <w:rFonts w:ascii="Times New Roman" w:hAnsi="Times New Roman" w:cs="Times New Roman"/>
          <w:color w:val="auto"/>
          <w:sz w:val="24"/>
          <w:szCs w:val="24"/>
        </w:rPr>
        <w:t>公共场所等；地块内实施条件是否与</w:t>
      </w:r>
      <w:r>
        <w:rPr>
          <w:rFonts w:hint="eastAsia" w:ascii="Times New Roman" w:hAnsi="Times New Roman" w:cs="Times New Roman"/>
          <w:color w:val="auto"/>
          <w:sz w:val="24"/>
          <w:szCs w:val="24"/>
        </w:rPr>
        <w:t>土壤污染状况</w:t>
      </w:r>
      <w:r>
        <w:rPr>
          <w:rFonts w:ascii="Times New Roman" w:hAnsi="Times New Roman" w:cs="Times New Roman"/>
          <w:color w:val="auto"/>
          <w:sz w:val="24"/>
          <w:szCs w:val="24"/>
        </w:rPr>
        <w:t>调查报告和修复方案中所述情况一致，若发现存在污染土壤被扰动且影响地块水文地质条件或导致污染物发生迁移等情形，按照涉及土壤污染修复主体工程的重大变更进行处理。</w:t>
      </w:r>
    </w:p>
    <w:p>
      <w:pPr>
        <w:pStyle w:val="58"/>
        <w:numPr>
          <w:ilvl w:val="2"/>
          <w:numId w:val="9"/>
        </w:numPr>
        <w:spacing w:line="360" w:lineRule="auto"/>
        <w:ind w:left="0"/>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参加修复工程技术交底会</w:t>
      </w:r>
    </w:p>
    <w:p>
      <w:pPr>
        <w:pStyle w:val="59"/>
        <w:numPr>
          <w:ilvl w:val="0"/>
          <w:numId w:val="10"/>
        </w:numPr>
        <w:adjustRightInd w:val="0"/>
        <w:spacing w:line="360" w:lineRule="auto"/>
        <w:ind w:firstLine="480" w:firstLineChars="0"/>
        <w:jc w:val="left"/>
        <w:rPr>
          <w:rFonts w:ascii="Times New Roman" w:hAnsi="Times New Roman" w:cs="Times New Roman"/>
          <w:color w:val="auto"/>
          <w:sz w:val="24"/>
          <w:szCs w:val="24"/>
        </w:rPr>
      </w:pPr>
      <w:r>
        <w:rPr>
          <w:rFonts w:ascii="Times New Roman" w:hAnsi="Times New Roman" w:cs="Times New Roman"/>
          <w:color w:val="auto"/>
          <w:sz w:val="24"/>
          <w:szCs w:val="24"/>
        </w:rPr>
        <w:t>环境监理单位参加由</w:t>
      </w:r>
      <w:r>
        <w:rPr>
          <w:rFonts w:hint="eastAsia" w:ascii="Times New Roman" w:hAnsi="Times New Roman" w:cs="Times New Roman"/>
          <w:color w:val="auto"/>
          <w:sz w:val="24"/>
          <w:szCs w:val="24"/>
        </w:rPr>
        <w:t>土壤污染修复责任主体</w:t>
      </w:r>
      <w:r>
        <w:rPr>
          <w:rFonts w:ascii="Times New Roman" w:hAnsi="Times New Roman" w:cs="Times New Roman"/>
          <w:color w:val="auto"/>
          <w:sz w:val="24"/>
          <w:szCs w:val="24"/>
        </w:rPr>
        <w:t>组织的关于修复方案、施工组织设计等内容的技术交底会。环境监理单位审核修复方案是否满足</w:t>
      </w:r>
      <w:r>
        <w:rPr>
          <w:rFonts w:hint="eastAsia" w:ascii="Times New Roman" w:hAnsi="Times New Roman" w:cs="Times New Roman"/>
          <w:color w:val="auto"/>
          <w:sz w:val="24"/>
          <w:szCs w:val="24"/>
        </w:rPr>
        <w:t>二次污染防治</w:t>
      </w:r>
      <w:r>
        <w:rPr>
          <w:rFonts w:ascii="Times New Roman" w:hAnsi="Times New Roman" w:cs="Times New Roman"/>
          <w:color w:val="auto"/>
          <w:sz w:val="24"/>
          <w:szCs w:val="24"/>
        </w:rPr>
        <w:t>相关技术规范要求，如不满足要求，提出修改意见，必要时建议修复方案重新备案。会议结果形成交底记录，并由参会各单位签字确认。</w:t>
      </w:r>
    </w:p>
    <w:p>
      <w:pPr>
        <w:pStyle w:val="58"/>
        <w:numPr>
          <w:ilvl w:val="2"/>
          <w:numId w:val="9"/>
        </w:numPr>
        <w:spacing w:line="360" w:lineRule="auto"/>
        <w:ind w:left="0"/>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编制环境监理方案</w:t>
      </w:r>
    </w:p>
    <w:p>
      <w:pPr>
        <w:numPr>
          <w:ilvl w:val="0"/>
          <w:numId w:val="10"/>
        </w:numPr>
        <w:autoSpaceDE w:val="0"/>
        <w:autoSpaceDN w:val="0"/>
        <w:adjustRightInd w:val="0"/>
        <w:spacing w:line="360" w:lineRule="auto"/>
        <w:ind w:firstLine="484" w:firstLineChars="202"/>
        <w:jc w:val="left"/>
        <w:rPr>
          <w:rFonts w:ascii="Times New Roman" w:hAnsi="Times New Roman" w:cs="Times New Roman"/>
          <w:color w:val="auto"/>
          <w:sz w:val="24"/>
          <w:szCs w:val="24"/>
        </w:rPr>
      </w:pPr>
      <w:r>
        <w:rPr>
          <w:rFonts w:ascii="Times New Roman" w:hAnsi="Times New Roman" w:cs="Times New Roman"/>
          <w:color w:val="auto"/>
          <w:sz w:val="24"/>
          <w:szCs w:val="24"/>
        </w:rPr>
        <w:t>环境监理单位依据环境保护相关法律法规、土壤污染修复工程相关技术规范和资料，结合工程实际情况，编制环境监理方案。环境监理方案中包括项目背景情况、工程概况、工作依据、目标、程序、方法、内容（包括监理要点）、制度、组织机构及职责等内容。</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szCs w:val="24"/>
        </w:rPr>
      </w:pPr>
      <w:r>
        <w:rPr>
          <w:rFonts w:ascii="Times New Roman" w:hAnsi="Times New Roman" w:cs="Times New Roman"/>
          <w:color w:val="auto"/>
          <w:sz w:val="24"/>
          <w:szCs w:val="24"/>
        </w:rPr>
        <w:t>环境监理方案的编制大纲可参照附2。</w:t>
      </w:r>
    </w:p>
    <w:p>
      <w:pPr>
        <w:pStyle w:val="58"/>
        <w:numPr>
          <w:ilvl w:val="2"/>
          <w:numId w:val="9"/>
        </w:numPr>
        <w:spacing w:line="360" w:lineRule="auto"/>
        <w:ind w:left="0"/>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土壤污染修复主体工程环境监理</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szCs w:val="24"/>
        </w:rPr>
      </w:pPr>
      <w:r>
        <w:rPr>
          <w:rFonts w:ascii="Times New Roman" w:hAnsi="Times New Roman" w:cs="Times New Roman"/>
          <w:color w:val="auto"/>
          <w:sz w:val="24"/>
          <w:szCs w:val="24"/>
        </w:rPr>
        <w:t>主体工程环境监理的工作要点根据工程采用的</w:t>
      </w:r>
      <w:r>
        <w:rPr>
          <w:rFonts w:hint="eastAsia" w:ascii="Times New Roman" w:hAnsi="Times New Roman" w:cs="Times New Roman"/>
          <w:color w:val="auto"/>
          <w:sz w:val="24"/>
          <w:szCs w:val="24"/>
        </w:rPr>
        <w:t>具体</w:t>
      </w:r>
      <w:r>
        <w:rPr>
          <w:rFonts w:ascii="Times New Roman" w:hAnsi="Times New Roman" w:cs="Times New Roman"/>
          <w:color w:val="auto"/>
          <w:sz w:val="24"/>
          <w:szCs w:val="24"/>
        </w:rPr>
        <w:t>土壤污染修复</w:t>
      </w:r>
      <w:r>
        <w:rPr>
          <w:rFonts w:hint="eastAsia" w:ascii="Times New Roman" w:hAnsi="Times New Roman" w:cs="Times New Roman"/>
          <w:color w:val="auto"/>
          <w:sz w:val="24"/>
          <w:szCs w:val="24"/>
        </w:rPr>
        <w:t>模式、</w:t>
      </w:r>
      <w:r>
        <w:rPr>
          <w:rFonts w:ascii="Times New Roman" w:hAnsi="Times New Roman" w:cs="Times New Roman"/>
          <w:color w:val="auto"/>
          <w:sz w:val="24"/>
          <w:szCs w:val="24"/>
        </w:rPr>
        <w:t>技术进行确定，环境监理工作要点可参见附3。</w:t>
      </w:r>
    </w:p>
    <w:p>
      <w:pPr>
        <w:pStyle w:val="58"/>
        <w:numPr>
          <w:ilvl w:val="3"/>
          <w:numId w:val="9"/>
        </w:numPr>
        <w:spacing w:line="360" w:lineRule="auto"/>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确认工程开工</w:t>
      </w:r>
    </w:p>
    <w:p>
      <w:pPr>
        <w:autoSpaceDE w:val="0"/>
        <w:autoSpaceDN w:val="0"/>
        <w:adjustRightInd w:val="0"/>
        <w:spacing w:line="360" w:lineRule="auto"/>
        <w:ind w:firstLine="480" w:firstLineChars="200"/>
        <w:jc w:val="left"/>
        <w:rPr>
          <w:rFonts w:ascii="Times New Roman" w:hAnsi="Times New Roman" w:cs="Times New Roman"/>
          <w:color w:val="auto"/>
          <w:sz w:val="24"/>
          <w:szCs w:val="24"/>
        </w:rPr>
      </w:pPr>
      <w:r>
        <w:rPr>
          <w:rFonts w:ascii="Times New Roman" w:hAnsi="Times New Roman" w:cs="Times New Roman"/>
          <w:color w:val="auto"/>
          <w:sz w:val="24"/>
          <w:szCs w:val="24"/>
        </w:rPr>
        <w:t>施工单位根据现场情况判断是否具备开工条件，填报《工程开工/复工报审表》，环境监理单位协助</w:t>
      </w:r>
      <w:r>
        <w:rPr>
          <w:rFonts w:hint="eastAsia" w:ascii="Times New Roman" w:hAnsi="Times New Roman" w:cs="Times New Roman"/>
          <w:color w:val="auto"/>
          <w:sz w:val="24"/>
          <w:szCs w:val="24"/>
        </w:rPr>
        <w:t>土壤污染修复责任主体</w:t>
      </w:r>
      <w:r>
        <w:rPr>
          <w:rFonts w:ascii="Times New Roman" w:hAnsi="Times New Roman" w:cs="Times New Roman"/>
          <w:color w:val="auto"/>
          <w:sz w:val="24"/>
          <w:szCs w:val="24"/>
        </w:rPr>
        <w:t>进行审核，开工条件如下：</w:t>
      </w:r>
    </w:p>
    <w:p>
      <w:pPr>
        <w:numPr>
          <w:ilvl w:val="0"/>
          <w:numId w:val="15"/>
        </w:numPr>
        <w:autoSpaceDE w:val="0"/>
        <w:autoSpaceDN w:val="0"/>
        <w:adjustRightInd w:val="0"/>
        <w:spacing w:line="360" w:lineRule="auto"/>
        <w:ind w:left="0" w:firstLine="426"/>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修复方案已经达到相关法律法规、技术规范要求，并完成生态环境主管部门备案等相关前期工作；</w:t>
      </w:r>
    </w:p>
    <w:p>
      <w:pPr>
        <w:numPr>
          <w:ilvl w:val="0"/>
          <w:numId w:val="15"/>
        </w:numPr>
        <w:autoSpaceDE w:val="0"/>
        <w:autoSpaceDN w:val="0"/>
        <w:adjustRightInd w:val="0"/>
        <w:spacing w:line="360" w:lineRule="auto"/>
        <w:ind w:firstLine="6"/>
        <w:jc w:val="left"/>
        <w:rPr>
          <w:rFonts w:ascii="Times New Roman" w:hAnsi="Times New Roman" w:cs="Times New Roman"/>
          <w:color w:val="auto"/>
          <w:sz w:val="24"/>
          <w:szCs w:val="24"/>
        </w:rPr>
      </w:pPr>
      <w:r>
        <w:rPr>
          <w:rFonts w:ascii="Times New Roman" w:hAnsi="Times New Roman" w:cs="Times New Roman"/>
          <w:color w:val="auto"/>
          <w:sz w:val="24"/>
          <w:szCs w:val="24"/>
        </w:rPr>
        <w:t>工程现场二次污染</w:t>
      </w:r>
      <w:r>
        <w:rPr>
          <w:rFonts w:hint="eastAsia" w:ascii="Times New Roman" w:hAnsi="Times New Roman" w:cs="Times New Roman"/>
          <w:color w:val="auto"/>
          <w:sz w:val="24"/>
          <w:szCs w:val="24"/>
        </w:rPr>
        <w:t>防治</w:t>
      </w:r>
      <w:r>
        <w:rPr>
          <w:rFonts w:ascii="Times New Roman" w:hAnsi="Times New Roman" w:cs="Times New Roman"/>
          <w:color w:val="auto"/>
          <w:sz w:val="24"/>
          <w:szCs w:val="24"/>
        </w:rPr>
        <w:t>准备工作已完成。</w:t>
      </w:r>
    </w:p>
    <w:p>
      <w:pPr>
        <w:pStyle w:val="58"/>
        <w:numPr>
          <w:ilvl w:val="3"/>
          <w:numId w:val="9"/>
        </w:numPr>
        <w:spacing w:line="360" w:lineRule="auto"/>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检查土壤污染修复工程区域的现场放样范围</w:t>
      </w:r>
    </w:p>
    <w:p>
      <w:pPr>
        <w:spacing w:line="360" w:lineRule="auto"/>
        <w:ind w:firstLine="480" w:firstLineChars="200"/>
        <w:rPr>
          <w:rFonts w:ascii="Times New Roman" w:hAnsi="Times New Roman" w:cs="Times New Roman"/>
          <w:color w:val="auto"/>
          <w:sz w:val="24"/>
          <w:szCs w:val="24"/>
        </w:rPr>
      </w:pPr>
      <w:r>
        <w:rPr>
          <w:rFonts w:ascii="Times New Roman" w:hAnsi="Times New Roman" w:cs="Times New Roman"/>
          <w:color w:val="auto"/>
          <w:sz w:val="24"/>
          <w:szCs w:val="24"/>
        </w:rPr>
        <w:t>环境监理单位根据施工单位和工程监理机构提供的资料，按照土壤污染修复方案，检查施工单位的现场放样范围是否符合方案中确定的修复范围要求。</w:t>
      </w:r>
    </w:p>
    <w:p>
      <w:pPr>
        <w:pStyle w:val="58"/>
        <w:numPr>
          <w:ilvl w:val="3"/>
          <w:numId w:val="9"/>
        </w:numPr>
        <w:spacing w:line="360" w:lineRule="auto"/>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检查主体工程实施平面布置</w:t>
      </w:r>
    </w:p>
    <w:p>
      <w:pPr>
        <w:spacing w:line="360" w:lineRule="auto"/>
        <w:ind w:firstLine="480" w:firstLineChars="200"/>
        <w:rPr>
          <w:rFonts w:ascii="Times New Roman" w:hAnsi="Times New Roman" w:cs="Times New Roman"/>
          <w:color w:val="auto"/>
          <w:sz w:val="24"/>
          <w:szCs w:val="24"/>
        </w:rPr>
      </w:pPr>
      <w:r>
        <w:rPr>
          <w:rFonts w:ascii="Times New Roman" w:hAnsi="Times New Roman" w:cs="Times New Roman"/>
          <w:color w:val="auto"/>
          <w:sz w:val="24"/>
          <w:szCs w:val="24"/>
        </w:rPr>
        <w:t>环境监理单位根据修复方案检查土壤污染修复工程实施地块的平面布置。</w:t>
      </w:r>
    </w:p>
    <w:p>
      <w:pPr>
        <w:pStyle w:val="58"/>
        <w:numPr>
          <w:ilvl w:val="3"/>
          <w:numId w:val="9"/>
        </w:numPr>
        <w:spacing w:line="360" w:lineRule="auto"/>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核查环境敏感区域与主体工程位置关系</w:t>
      </w:r>
    </w:p>
    <w:p>
      <w:pPr>
        <w:autoSpaceDE w:val="0"/>
        <w:autoSpaceDN w:val="0"/>
        <w:adjustRightInd w:val="0"/>
        <w:spacing w:line="360" w:lineRule="auto"/>
        <w:ind w:firstLine="480" w:firstLineChars="200"/>
        <w:jc w:val="left"/>
        <w:rPr>
          <w:rFonts w:ascii="Times New Roman" w:hAnsi="Times New Roman" w:cs="Times New Roman"/>
          <w:color w:val="auto"/>
          <w:sz w:val="24"/>
          <w:szCs w:val="24"/>
        </w:rPr>
      </w:pPr>
      <w:r>
        <w:rPr>
          <w:rFonts w:ascii="Times New Roman" w:hAnsi="Times New Roman" w:cs="Times New Roman"/>
          <w:color w:val="auto"/>
          <w:sz w:val="24"/>
          <w:szCs w:val="24"/>
        </w:rPr>
        <w:t>环境监理单位采用巡视</w:t>
      </w:r>
      <w:r>
        <w:rPr>
          <w:rFonts w:hint="eastAsia" w:ascii="Times New Roman" w:hAnsi="Times New Roman" w:cs="Times New Roman"/>
          <w:color w:val="auto"/>
          <w:sz w:val="24"/>
          <w:szCs w:val="24"/>
        </w:rPr>
        <w:t>等</w:t>
      </w:r>
      <w:r>
        <w:rPr>
          <w:rFonts w:ascii="Times New Roman" w:hAnsi="Times New Roman" w:cs="Times New Roman"/>
          <w:color w:val="auto"/>
          <w:sz w:val="24"/>
          <w:szCs w:val="24"/>
        </w:rPr>
        <w:t>方法，核查项目修复区域与环境敏感区域位置关系是否发生重大变化，并初步判断变化带来的环境影响是否可以接受。</w:t>
      </w:r>
    </w:p>
    <w:p>
      <w:pPr>
        <w:pStyle w:val="58"/>
        <w:numPr>
          <w:ilvl w:val="3"/>
          <w:numId w:val="9"/>
        </w:numPr>
        <w:spacing w:line="360" w:lineRule="auto"/>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核查分类暂存情况</w:t>
      </w:r>
    </w:p>
    <w:p>
      <w:pPr>
        <w:autoSpaceDE w:val="0"/>
        <w:autoSpaceDN w:val="0"/>
        <w:adjustRightInd w:val="0"/>
        <w:spacing w:line="360" w:lineRule="auto"/>
        <w:ind w:firstLine="480" w:firstLineChars="200"/>
        <w:jc w:val="left"/>
        <w:rPr>
          <w:rFonts w:ascii="Times New Roman" w:hAnsi="Times New Roman" w:cs="Times New Roman"/>
          <w:color w:val="auto"/>
          <w:sz w:val="24"/>
          <w:szCs w:val="24"/>
        </w:rPr>
      </w:pPr>
      <w:r>
        <w:rPr>
          <w:rFonts w:ascii="Times New Roman" w:hAnsi="Times New Roman" w:cs="Times New Roman"/>
          <w:color w:val="auto"/>
          <w:sz w:val="24"/>
          <w:szCs w:val="24"/>
        </w:rPr>
        <w:t>环境监理单位采用巡视</w:t>
      </w:r>
      <w:r>
        <w:rPr>
          <w:rFonts w:hint="eastAsia" w:ascii="Times New Roman" w:hAnsi="Times New Roman" w:cs="Times New Roman"/>
          <w:color w:val="auto"/>
          <w:sz w:val="24"/>
          <w:szCs w:val="24"/>
        </w:rPr>
        <w:t>等</w:t>
      </w:r>
      <w:r>
        <w:rPr>
          <w:rFonts w:ascii="Times New Roman" w:hAnsi="Times New Roman" w:cs="Times New Roman"/>
          <w:color w:val="auto"/>
          <w:sz w:val="24"/>
          <w:szCs w:val="24"/>
        </w:rPr>
        <w:t>方法，重点核查污染土壤和地下水</w:t>
      </w:r>
      <w:r>
        <w:rPr>
          <w:rFonts w:hint="eastAsia"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受污染水体、</w:t>
      </w:r>
      <w:r>
        <w:rPr>
          <w:rFonts w:hint="eastAsia" w:ascii="Times New Roman" w:hAnsi="Times New Roman" w:cs="Times New Roman"/>
          <w:color w:val="auto"/>
          <w:sz w:val="24"/>
          <w:szCs w:val="24"/>
        </w:rPr>
        <w:t>废水等</w:t>
      </w:r>
      <w:r>
        <w:rPr>
          <w:rFonts w:ascii="Times New Roman" w:hAnsi="Times New Roman" w:cs="Times New Roman"/>
          <w:color w:val="auto"/>
          <w:sz w:val="24"/>
          <w:szCs w:val="24"/>
        </w:rPr>
        <w:t>分类暂存情况（如有）是否符合相关技术规范与修复方案要求。</w:t>
      </w:r>
    </w:p>
    <w:p>
      <w:pPr>
        <w:pStyle w:val="58"/>
        <w:numPr>
          <w:ilvl w:val="3"/>
          <w:numId w:val="9"/>
        </w:numPr>
        <w:spacing w:line="360" w:lineRule="auto"/>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监督修复工程中污染介质的运输过程</w:t>
      </w:r>
    </w:p>
    <w:p>
      <w:pPr>
        <w:autoSpaceDE w:val="0"/>
        <w:autoSpaceDN w:val="0"/>
        <w:adjustRightInd w:val="0"/>
        <w:spacing w:line="360" w:lineRule="auto"/>
        <w:ind w:firstLine="480" w:firstLineChars="200"/>
        <w:jc w:val="left"/>
        <w:rPr>
          <w:rFonts w:ascii="Times New Roman" w:hAnsi="Times New Roman" w:cs="Times New Roman"/>
          <w:color w:val="auto"/>
          <w:sz w:val="24"/>
          <w:szCs w:val="24"/>
        </w:rPr>
      </w:pPr>
      <w:r>
        <w:rPr>
          <w:rFonts w:ascii="Times New Roman" w:hAnsi="Times New Roman" w:cs="Times New Roman"/>
          <w:color w:val="auto"/>
          <w:sz w:val="24"/>
          <w:szCs w:val="24"/>
        </w:rPr>
        <w:t>环境监理单位采用巡视</w:t>
      </w:r>
      <w:r>
        <w:rPr>
          <w:rFonts w:hint="eastAsia" w:ascii="Times New Roman" w:hAnsi="Times New Roman" w:cs="Times New Roman"/>
          <w:color w:val="auto"/>
          <w:sz w:val="24"/>
          <w:szCs w:val="24"/>
        </w:rPr>
        <w:t>等</w:t>
      </w:r>
      <w:r>
        <w:rPr>
          <w:rFonts w:ascii="Times New Roman" w:hAnsi="Times New Roman" w:cs="Times New Roman"/>
          <w:color w:val="auto"/>
          <w:sz w:val="24"/>
          <w:szCs w:val="24"/>
        </w:rPr>
        <w:t>方法，监督</w:t>
      </w:r>
      <w:r>
        <w:rPr>
          <w:rFonts w:hint="eastAsia" w:ascii="Times New Roman" w:hAnsi="Times New Roman" w:cs="Times New Roman"/>
          <w:color w:val="auto"/>
          <w:sz w:val="24"/>
          <w:szCs w:val="24"/>
        </w:rPr>
        <w:t>土壤污染</w:t>
      </w:r>
      <w:r>
        <w:rPr>
          <w:rFonts w:ascii="Times New Roman" w:hAnsi="Times New Roman" w:cs="Times New Roman"/>
          <w:color w:val="auto"/>
          <w:sz w:val="24"/>
          <w:szCs w:val="24"/>
        </w:rPr>
        <w:t>修复工程中污染介质（污染土壤、污染地下水、危险废物、固体废物等）的转移与运输（包括场内短驳、运输和外运等）过程，包括运输车辆的</w:t>
      </w:r>
      <w:r>
        <w:rPr>
          <w:rFonts w:hint="eastAsia" w:ascii="Times New Roman" w:hAnsi="Times New Roman" w:cs="Times New Roman"/>
          <w:color w:val="auto"/>
          <w:sz w:val="24"/>
          <w:szCs w:val="24"/>
        </w:rPr>
        <w:t>二次污染防治</w:t>
      </w:r>
      <w:r>
        <w:rPr>
          <w:rFonts w:ascii="Times New Roman" w:hAnsi="Times New Roman" w:cs="Times New Roman"/>
          <w:color w:val="auto"/>
          <w:sz w:val="24"/>
          <w:szCs w:val="24"/>
        </w:rPr>
        <w:t>措施落实情况、转移与运输路线，运输车次和运输量等，重点检查每一车次（或</w:t>
      </w:r>
      <w:r>
        <w:rPr>
          <w:rFonts w:hint="eastAsia" w:ascii="Times New Roman" w:hAnsi="Times New Roman" w:cs="Times New Roman"/>
          <w:color w:val="auto"/>
          <w:sz w:val="24"/>
          <w:szCs w:val="24"/>
        </w:rPr>
        <w:t>其他</w:t>
      </w:r>
      <w:r>
        <w:rPr>
          <w:rFonts w:ascii="Times New Roman" w:hAnsi="Times New Roman" w:cs="Times New Roman"/>
          <w:color w:val="auto"/>
          <w:sz w:val="24"/>
          <w:szCs w:val="24"/>
        </w:rPr>
        <w:t>运输机械）的装运介质、类型以及装卸点位置，并采集、留存影像资料。污染土壤外运过程采用联单方式进行管理，联单</w:t>
      </w:r>
      <w:r>
        <w:rPr>
          <w:rFonts w:hint="eastAsia" w:ascii="Times New Roman" w:hAnsi="Times New Roman" w:cs="Times New Roman"/>
          <w:color w:val="auto"/>
          <w:sz w:val="24"/>
          <w:szCs w:val="24"/>
        </w:rPr>
        <w:t>内容</w:t>
      </w:r>
      <w:r>
        <w:rPr>
          <w:rFonts w:ascii="Times New Roman" w:hAnsi="Times New Roman" w:cs="Times New Roman"/>
          <w:color w:val="auto"/>
          <w:sz w:val="24"/>
          <w:szCs w:val="24"/>
        </w:rPr>
        <w:t>包括污染土壤运输量、出场时间、接收时间、运输车辆信息等，并由施工单位、环境监理单位、运输单位和接收单位等进行签字确认。</w:t>
      </w:r>
    </w:p>
    <w:p>
      <w:pPr>
        <w:pStyle w:val="58"/>
        <w:numPr>
          <w:ilvl w:val="3"/>
          <w:numId w:val="9"/>
        </w:numPr>
        <w:spacing w:line="360" w:lineRule="auto"/>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异地集中式修复场所的环境监理工作</w:t>
      </w:r>
    </w:p>
    <w:p>
      <w:pPr>
        <w:numPr>
          <w:ilvl w:val="0"/>
          <w:numId w:val="10"/>
        </w:numPr>
        <w:autoSpaceDE w:val="0"/>
        <w:autoSpaceDN w:val="0"/>
        <w:adjustRightInd w:val="0"/>
        <w:spacing w:line="360" w:lineRule="auto"/>
        <w:ind w:firstLine="484" w:firstLineChars="202"/>
        <w:jc w:val="left"/>
        <w:rPr>
          <w:rFonts w:ascii="Times New Roman" w:hAnsi="Times New Roman" w:cs="Times New Roman"/>
          <w:color w:val="auto"/>
          <w:sz w:val="24"/>
          <w:szCs w:val="24"/>
        </w:rPr>
      </w:pPr>
      <w:r>
        <w:rPr>
          <w:rFonts w:ascii="Times New Roman" w:hAnsi="Times New Roman" w:cs="Times New Roman"/>
          <w:color w:val="auto"/>
          <w:sz w:val="24"/>
          <w:szCs w:val="24"/>
        </w:rPr>
        <w:t>若污染土壤或地下水转移至异地集中式修复场所进行修复，环境监理单位主要负责原污染地块内作业和运输过程中</w:t>
      </w:r>
      <w:r>
        <w:rPr>
          <w:rFonts w:hint="eastAsia" w:ascii="Times New Roman" w:hAnsi="Times New Roman" w:cs="Times New Roman"/>
          <w:color w:val="auto"/>
          <w:sz w:val="24"/>
          <w:szCs w:val="24"/>
        </w:rPr>
        <w:t>二次污染防治的</w:t>
      </w:r>
      <w:r>
        <w:rPr>
          <w:rFonts w:ascii="Times New Roman" w:hAnsi="Times New Roman" w:cs="Times New Roman"/>
          <w:color w:val="auto"/>
          <w:sz w:val="24"/>
          <w:szCs w:val="24"/>
        </w:rPr>
        <w:t>环境监理，并重点关注污染土壤和地下水的清挖、暂存、运输和预处理等过程。</w:t>
      </w:r>
    </w:p>
    <w:p>
      <w:pPr>
        <w:pStyle w:val="58"/>
        <w:numPr>
          <w:ilvl w:val="3"/>
          <w:numId w:val="9"/>
        </w:numPr>
        <w:spacing w:line="360" w:lineRule="auto"/>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监督污染地下水修复后去向</w:t>
      </w:r>
    </w:p>
    <w:p>
      <w:pPr>
        <w:numPr>
          <w:ilvl w:val="255"/>
          <w:numId w:val="0"/>
        </w:numPr>
        <w:autoSpaceDE w:val="0"/>
        <w:autoSpaceDN w:val="0"/>
        <w:adjustRightInd w:val="0"/>
        <w:spacing w:line="360" w:lineRule="auto"/>
        <w:ind w:firstLine="480" w:firstLineChars="200"/>
        <w:jc w:val="left"/>
        <w:rPr>
          <w:rFonts w:ascii="Times New Roman" w:hAnsi="Times New Roman" w:cs="Times New Roman"/>
          <w:color w:val="auto"/>
          <w:sz w:val="24"/>
          <w:szCs w:val="24"/>
        </w:rPr>
      </w:pPr>
      <w:r>
        <w:rPr>
          <w:rFonts w:ascii="Times New Roman" w:hAnsi="Times New Roman" w:cs="Times New Roman"/>
          <w:color w:val="auto"/>
          <w:sz w:val="24"/>
          <w:szCs w:val="24"/>
        </w:rPr>
        <w:t>环境监理单位跟踪监督修复后地下水</w:t>
      </w:r>
      <w:r>
        <w:rPr>
          <w:rFonts w:hint="eastAsia" w:ascii="Times New Roman" w:hAnsi="Times New Roman" w:cs="Times New Roman"/>
          <w:color w:val="auto"/>
          <w:sz w:val="24"/>
          <w:szCs w:val="24"/>
        </w:rPr>
        <w:t>（或受污染</w:t>
      </w:r>
      <w:r>
        <w:rPr>
          <w:rFonts w:hint="eastAsia" w:ascii="Times New Roman" w:hAnsi="Times New Roman" w:cs="Times New Roman"/>
          <w:color w:val="auto"/>
          <w:sz w:val="24"/>
          <w:szCs w:val="24"/>
          <w:lang w:val="en-US" w:eastAsia="zh-CN"/>
        </w:rPr>
        <w:t>水体、</w:t>
      </w:r>
      <w:r>
        <w:rPr>
          <w:rFonts w:hint="eastAsia" w:ascii="Times New Roman" w:hAnsi="Times New Roman" w:cs="Times New Roman"/>
          <w:color w:val="auto"/>
          <w:sz w:val="24"/>
          <w:szCs w:val="24"/>
        </w:rPr>
        <w:t>废水等）</w:t>
      </w:r>
      <w:r>
        <w:rPr>
          <w:rFonts w:ascii="Times New Roman" w:hAnsi="Times New Roman" w:cs="Times New Roman"/>
          <w:color w:val="auto"/>
          <w:sz w:val="24"/>
          <w:szCs w:val="24"/>
        </w:rPr>
        <w:t>去向是否符合相关技术规范与修复方案的要求</w:t>
      </w:r>
      <w:r>
        <w:rPr>
          <w:rFonts w:hint="eastAsia" w:ascii="Times New Roman" w:hAnsi="Times New Roman" w:cs="Times New Roman"/>
          <w:color w:val="auto"/>
          <w:sz w:val="24"/>
          <w:szCs w:val="24"/>
        </w:rPr>
        <w:t>，</w:t>
      </w:r>
      <w:r>
        <w:rPr>
          <w:rFonts w:ascii="Times New Roman" w:hAnsi="Times New Roman" w:cs="Times New Roman"/>
          <w:color w:val="auto"/>
          <w:sz w:val="24"/>
          <w:szCs w:val="24"/>
        </w:rPr>
        <w:t>涉及到外排时，重点检查排放口位置、排放方式和排放量，对排放的达标情况进行取样监测等。</w:t>
      </w:r>
    </w:p>
    <w:p>
      <w:pPr>
        <w:pStyle w:val="58"/>
        <w:numPr>
          <w:ilvl w:val="2"/>
          <w:numId w:val="9"/>
        </w:numPr>
        <w:spacing w:line="360" w:lineRule="auto"/>
        <w:ind w:left="0"/>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rPr>
        <w:t>二次污染的环境监测</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szCs w:val="24"/>
        </w:rPr>
      </w:pPr>
      <w:r>
        <w:rPr>
          <w:rFonts w:ascii="Times New Roman" w:hAnsi="Times New Roman" w:cs="Times New Roman"/>
          <w:color w:val="auto"/>
          <w:sz w:val="24"/>
          <w:szCs w:val="24"/>
        </w:rPr>
        <w:t>环境监理单位对土壤污染修复工程实施过程中排放的废水、废气、噪声，可能产生的二次污染及环境影响进行定期监测，评价工程实施过程中污染物的排放和周边环境质量是否符合相关标准和规范的要求。</w:t>
      </w:r>
    </w:p>
    <w:p>
      <w:pPr>
        <w:pStyle w:val="58"/>
        <w:numPr>
          <w:ilvl w:val="3"/>
          <w:numId w:val="9"/>
        </w:numPr>
        <w:spacing w:before="120" w:after="120" w:line="360" w:lineRule="auto"/>
        <w:rPr>
          <w:rFonts w:ascii="Times New Roman" w:hAnsi="Times New Roman" w:cs="Times New Roman"/>
          <w:color w:val="auto"/>
          <w:kern w:val="10"/>
          <w:sz w:val="24"/>
          <w:szCs w:val="24"/>
          <w:shd w:val="clear" w:color="auto" w:fill="FFFFFF"/>
        </w:rPr>
      </w:pPr>
      <w:r>
        <w:rPr>
          <w:rFonts w:ascii="Times New Roman" w:hAnsi="Times New Roman" w:cs="Times New Roman"/>
          <w:color w:val="auto"/>
          <w:kern w:val="10"/>
          <w:sz w:val="24"/>
          <w:szCs w:val="24"/>
          <w:shd w:val="clear" w:color="auto" w:fill="FFFFFF"/>
        </w:rPr>
        <w:t>大气环境监测</w:t>
      </w:r>
    </w:p>
    <w:p>
      <w:pPr>
        <w:numPr>
          <w:ilvl w:val="0"/>
          <w:numId w:val="16"/>
        </w:numPr>
        <w:autoSpaceDE w:val="0"/>
        <w:autoSpaceDN w:val="0"/>
        <w:adjustRightInd w:val="0"/>
        <w:spacing w:line="360" w:lineRule="auto"/>
        <w:ind w:left="0" w:firstLine="420"/>
        <w:jc w:val="left"/>
        <w:rPr>
          <w:rFonts w:ascii="Times New Roman" w:hAnsi="Times New Roman" w:eastAsia="黑体" w:cs="Times New Roman"/>
          <w:color w:val="auto"/>
          <w:kern w:val="0"/>
          <w:sz w:val="24"/>
        </w:rPr>
      </w:pPr>
      <w:r>
        <w:rPr>
          <w:rFonts w:ascii="Times New Roman" w:hAnsi="Times New Roman" w:eastAsia="黑体" w:cs="Times New Roman"/>
          <w:color w:val="auto"/>
          <w:kern w:val="0"/>
          <w:sz w:val="24"/>
        </w:rPr>
        <w:t>监测项目</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rPr>
      </w:pPr>
      <w:r>
        <w:rPr>
          <w:rFonts w:ascii="Times New Roman" w:hAnsi="Times New Roman" w:cs="Times New Roman"/>
          <w:color w:val="auto"/>
          <w:sz w:val="24"/>
        </w:rPr>
        <w:t>大气环境监测一般包括污染土壤清挖、运输、暂存、修复</w:t>
      </w:r>
      <w:r>
        <w:rPr>
          <w:rFonts w:hint="eastAsia" w:ascii="Times New Roman" w:hAnsi="Times New Roman" w:cs="Times New Roman"/>
          <w:color w:val="auto"/>
          <w:sz w:val="24"/>
        </w:rPr>
        <w:t>、回填</w:t>
      </w:r>
      <w:r>
        <w:rPr>
          <w:rFonts w:ascii="Times New Roman" w:hAnsi="Times New Roman" w:cs="Times New Roman"/>
          <w:color w:val="auto"/>
          <w:sz w:val="24"/>
        </w:rPr>
        <w:t>等工程实施过程中大气污染物无组织排放和修复设施（车间）污染物集中排放等内容。</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rPr>
      </w:pPr>
      <w:r>
        <w:rPr>
          <w:rFonts w:ascii="Times New Roman" w:hAnsi="Times New Roman" w:cs="Times New Roman"/>
          <w:color w:val="auto"/>
          <w:sz w:val="24"/>
        </w:rPr>
        <w:t>结合现有标准检测方法，大气监测包括总悬浮颗粒物和地块特征污染物等指标，必要时加测恶臭和有毒有害中间产物。</w:t>
      </w:r>
    </w:p>
    <w:p>
      <w:pPr>
        <w:numPr>
          <w:ilvl w:val="0"/>
          <w:numId w:val="16"/>
        </w:numPr>
        <w:autoSpaceDE w:val="0"/>
        <w:autoSpaceDN w:val="0"/>
        <w:adjustRightInd w:val="0"/>
        <w:spacing w:line="360" w:lineRule="auto"/>
        <w:ind w:left="0" w:firstLine="420"/>
        <w:jc w:val="left"/>
        <w:rPr>
          <w:rFonts w:ascii="Times New Roman" w:hAnsi="Times New Roman" w:eastAsia="黑体" w:cs="Times New Roman"/>
          <w:color w:val="auto"/>
          <w:kern w:val="0"/>
          <w:sz w:val="24"/>
        </w:rPr>
      </w:pPr>
      <w:bookmarkStart w:id="101" w:name="OLE_LINK1"/>
      <w:r>
        <w:rPr>
          <w:rFonts w:ascii="Times New Roman" w:hAnsi="Times New Roman" w:eastAsia="黑体" w:cs="Times New Roman"/>
          <w:color w:val="auto"/>
          <w:kern w:val="0"/>
          <w:sz w:val="24"/>
        </w:rPr>
        <w:t>监测点位和频次</w:t>
      </w:r>
    </w:p>
    <w:bookmarkEnd w:id="101"/>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rPr>
      </w:pPr>
      <w:r>
        <w:rPr>
          <w:rFonts w:ascii="Times New Roman" w:hAnsi="Times New Roman" w:cs="Times New Roman"/>
          <w:color w:val="auto"/>
          <w:sz w:val="24"/>
        </w:rPr>
        <w:t>一般根据修复工程功能区域规划及工程进度，在地块边界设置无组织排放监测点、在有代表性的环境敏感点</w:t>
      </w:r>
      <w:r>
        <w:rPr>
          <w:rFonts w:hint="eastAsia" w:ascii="Times New Roman" w:hAnsi="Times New Roman" w:cs="Times New Roman"/>
          <w:color w:val="auto"/>
          <w:sz w:val="24"/>
        </w:rPr>
        <w:t>及上风向和下风向位置</w:t>
      </w:r>
      <w:r>
        <w:rPr>
          <w:rFonts w:ascii="Times New Roman" w:hAnsi="Times New Roman" w:cs="Times New Roman"/>
          <w:color w:val="auto"/>
          <w:sz w:val="24"/>
        </w:rPr>
        <w:t>设置环境空气监测点，在废气集中收集处理设施设置固定源废气监测点。</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rPr>
      </w:pPr>
      <w:r>
        <w:rPr>
          <w:rFonts w:ascii="Times New Roman" w:hAnsi="Times New Roman" w:cs="Times New Roman"/>
          <w:color w:val="auto"/>
          <w:sz w:val="24"/>
        </w:rPr>
        <w:t>监测频次依据工程进度和天气情况而定</w:t>
      </w:r>
      <w:r>
        <w:rPr>
          <w:rFonts w:hint="eastAsia" w:ascii="Times New Roman" w:hAnsi="Times New Roman" w:cs="Times New Roman"/>
          <w:color w:val="auto"/>
          <w:sz w:val="24"/>
        </w:rPr>
        <w:t>。施工期无组织排放和固定源排放原则上至少每月1次，施工期不少于2次；在土壤污染修复工程实施前、土壤污染修复工程完成后至少开展无组织排放监测各1次。</w:t>
      </w:r>
      <w:bookmarkStart w:id="102" w:name="OLE_LINK2"/>
      <w:r>
        <w:rPr>
          <w:rFonts w:hint="eastAsia" w:ascii="Times New Roman" w:hAnsi="Times New Roman" w:cs="Times New Roman"/>
          <w:color w:val="auto"/>
          <w:sz w:val="24"/>
        </w:rPr>
        <w:t>监测频次可根据修复方案适当增加</w:t>
      </w:r>
      <w:bookmarkEnd w:id="102"/>
      <w:r>
        <w:rPr>
          <w:rFonts w:hint="eastAsia" w:ascii="Times New Roman" w:hAnsi="Times New Roman" w:cs="Times New Roman"/>
          <w:color w:val="auto"/>
          <w:sz w:val="24"/>
        </w:rPr>
        <w:t>，</w:t>
      </w:r>
      <w:r>
        <w:rPr>
          <w:rFonts w:ascii="Times New Roman" w:hAnsi="Times New Roman" w:cs="Times New Roman"/>
          <w:color w:val="auto"/>
          <w:sz w:val="24"/>
        </w:rPr>
        <w:t>鼓励采用智能化在线监测手段。</w:t>
      </w:r>
    </w:p>
    <w:p>
      <w:pPr>
        <w:numPr>
          <w:ilvl w:val="0"/>
          <w:numId w:val="16"/>
        </w:numPr>
        <w:autoSpaceDE w:val="0"/>
        <w:autoSpaceDN w:val="0"/>
        <w:adjustRightInd w:val="0"/>
        <w:spacing w:line="360" w:lineRule="auto"/>
        <w:ind w:left="0" w:firstLine="420"/>
        <w:jc w:val="left"/>
        <w:rPr>
          <w:rFonts w:ascii="Times New Roman" w:hAnsi="Times New Roman" w:eastAsia="黑体" w:cs="Times New Roman"/>
          <w:color w:val="auto"/>
          <w:kern w:val="0"/>
          <w:sz w:val="24"/>
        </w:rPr>
      </w:pPr>
      <w:r>
        <w:rPr>
          <w:rFonts w:ascii="Times New Roman" w:hAnsi="Times New Roman" w:eastAsia="黑体" w:cs="Times New Roman"/>
          <w:color w:val="auto"/>
          <w:kern w:val="0"/>
          <w:sz w:val="24"/>
        </w:rPr>
        <w:t>评价标准</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rPr>
      </w:pPr>
      <w:bookmarkStart w:id="103" w:name="_Hlk42436639"/>
      <w:r>
        <w:rPr>
          <w:rFonts w:ascii="Times New Roman" w:hAnsi="Times New Roman" w:cs="Times New Roman"/>
          <w:color w:val="auto"/>
          <w:sz w:val="24"/>
        </w:rPr>
        <w:t>敏感点大气环境评价标准采用环境空气质量标准（GB3095），固定源和无组织大气环境可依据DB44/27第二时段的相关标准要求进行评价，恶臭评价执行GB 14554。上述标准中未列明的，可依据相关标准进行评价</w:t>
      </w:r>
      <w:r>
        <w:rPr>
          <w:rFonts w:hint="eastAsia" w:ascii="Times New Roman" w:hAnsi="Times New Roman" w:cs="Times New Roman"/>
          <w:color w:val="auto"/>
          <w:sz w:val="24"/>
        </w:rPr>
        <w:t>，对于相关标准均未涉及的地块特征污染物或有毒有害中间产物，可与土壤污染状况调查阶段或修复工程实施前检测值进行对比评价</w:t>
      </w:r>
      <w:r>
        <w:rPr>
          <w:rFonts w:ascii="Times New Roman" w:hAnsi="Times New Roman" w:cs="Times New Roman"/>
          <w:color w:val="auto"/>
          <w:sz w:val="24"/>
        </w:rPr>
        <w:t>。</w:t>
      </w:r>
    </w:p>
    <w:bookmarkEnd w:id="103"/>
    <w:p>
      <w:pPr>
        <w:pStyle w:val="58"/>
        <w:numPr>
          <w:ilvl w:val="3"/>
          <w:numId w:val="9"/>
        </w:numPr>
        <w:spacing w:before="120" w:after="120" w:line="360" w:lineRule="auto"/>
        <w:rPr>
          <w:rFonts w:ascii="Times New Roman" w:hAnsi="Times New Roman" w:cs="Times New Roman"/>
          <w:color w:val="auto"/>
          <w:kern w:val="10"/>
          <w:sz w:val="24"/>
          <w:szCs w:val="24"/>
          <w:shd w:val="clear" w:color="auto" w:fill="FFFFFF"/>
        </w:rPr>
      </w:pPr>
      <w:r>
        <w:rPr>
          <w:rFonts w:ascii="Times New Roman" w:hAnsi="Times New Roman" w:cs="Times New Roman"/>
          <w:color w:val="auto"/>
          <w:kern w:val="10"/>
          <w:sz w:val="24"/>
          <w:szCs w:val="24"/>
          <w:shd w:val="clear" w:color="auto" w:fill="FFFFFF"/>
        </w:rPr>
        <w:t>废水环境监测</w:t>
      </w:r>
    </w:p>
    <w:p>
      <w:pPr>
        <w:numPr>
          <w:ilvl w:val="0"/>
          <w:numId w:val="17"/>
        </w:numPr>
        <w:autoSpaceDE w:val="0"/>
        <w:autoSpaceDN w:val="0"/>
        <w:adjustRightInd w:val="0"/>
        <w:spacing w:line="360" w:lineRule="auto"/>
        <w:ind w:left="0" w:firstLine="420"/>
        <w:jc w:val="left"/>
        <w:rPr>
          <w:rFonts w:ascii="Times New Roman" w:hAnsi="Times New Roman" w:eastAsia="黑体" w:cs="Times New Roman"/>
          <w:color w:val="auto"/>
          <w:kern w:val="0"/>
          <w:sz w:val="24"/>
        </w:rPr>
      </w:pPr>
      <w:r>
        <w:rPr>
          <w:rFonts w:ascii="Times New Roman" w:hAnsi="Times New Roman" w:eastAsia="黑体" w:cs="Times New Roman"/>
          <w:color w:val="auto"/>
          <w:kern w:val="0"/>
          <w:sz w:val="24"/>
        </w:rPr>
        <w:t>监测项目</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rPr>
      </w:pPr>
      <w:r>
        <w:rPr>
          <w:rFonts w:ascii="Times New Roman" w:hAnsi="Times New Roman" w:cs="Times New Roman"/>
          <w:color w:val="auto"/>
          <w:sz w:val="24"/>
        </w:rPr>
        <w:t>对土壤污染修复过程产生的基坑水、清洗废水等进行监测。结合现有标准检测方法，监测指标包括土壤和地下水目标污染物，必要时加测有毒有害中间产物。</w:t>
      </w:r>
    </w:p>
    <w:p>
      <w:pPr>
        <w:numPr>
          <w:ilvl w:val="0"/>
          <w:numId w:val="17"/>
        </w:numPr>
        <w:autoSpaceDE w:val="0"/>
        <w:autoSpaceDN w:val="0"/>
        <w:adjustRightInd w:val="0"/>
        <w:spacing w:line="360" w:lineRule="auto"/>
        <w:ind w:left="0" w:firstLine="420"/>
        <w:jc w:val="left"/>
        <w:rPr>
          <w:rFonts w:ascii="Times New Roman" w:hAnsi="Times New Roman" w:eastAsia="黑体" w:cs="Times New Roman"/>
          <w:color w:val="auto"/>
          <w:kern w:val="0"/>
          <w:sz w:val="24"/>
        </w:rPr>
      </w:pPr>
      <w:r>
        <w:rPr>
          <w:rFonts w:ascii="Times New Roman" w:hAnsi="Times New Roman" w:eastAsia="黑体" w:cs="Times New Roman"/>
          <w:color w:val="auto"/>
          <w:kern w:val="0"/>
          <w:sz w:val="24"/>
        </w:rPr>
        <w:t>监测点位和频次</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rPr>
      </w:pPr>
      <w:r>
        <w:rPr>
          <w:rFonts w:ascii="Times New Roman" w:hAnsi="Times New Roman" w:cs="Times New Roman"/>
          <w:color w:val="auto"/>
          <w:sz w:val="24"/>
        </w:rPr>
        <w:t>若修复工程中设置污水处理设施的，则废水监测点位布设于废水处理站出水口，无废水处理设施的在废水排放口布点，对于处理后外运的在外运暂存区布设采样点。</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rPr>
      </w:pPr>
      <w:r>
        <w:rPr>
          <w:rFonts w:ascii="Times New Roman" w:hAnsi="Times New Roman" w:cs="Times New Roman"/>
          <w:color w:val="auto"/>
          <w:sz w:val="24"/>
        </w:rPr>
        <w:t>至少在土壤污染修复工程实施过程中、土壤污染修复工程完成后各监测1次，涉及到批次排放或回用的，在每批次排放或回用前进行监测。</w:t>
      </w:r>
    </w:p>
    <w:p>
      <w:pPr>
        <w:numPr>
          <w:ilvl w:val="0"/>
          <w:numId w:val="17"/>
        </w:numPr>
        <w:autoSpaceDE w:val="0"/>
        <w:autoSpaceDN w:val="0"/>
        <w:adjustRightInd w:val="0"/>
        <w:spacing w:line="360" w:lineRule="auto"/>
        <w:ind w:left="0" w:firstLine="420"/>
        <w:jc w:val="left"/>
        <w:rPr>
          <w:rFonts w:ascii="Times New Roman" w:hAnsi="Times New Roman" w:eastAsia="黑体" w:cs="Times New Roman"/>
          <w:color w:val="auto"/>
          <w:kern w:val="0"/>
          <w:sz w:val="24"/>
        </w:rPr>
      </w:pPr>
      <w:r>
        <w:rPr>
          <w:rFonts w:ascii="Times New Roman" w:hAnsi="Times New Roman" w:eastAsia="黑体" w:cs="Times New Roman"/>
          <w:color w:val="auto"/>
          <w:kern w:val="0"/>
          <w:sz w:val="24"/>
        </w:rPr>
        <w:t>评价标准</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rPr>
      </w:pPr>
      <w:bookmarkStart w:id="104" w:name="_Hlk42436875"/>
      <w:r>
        <w:rPr>
          <w:rFonts w:ascii="Times New Roman" w:hAnsi="Times New Roman" w:cs="Times New Roman"/>
          <w:color w:val="auto"/>
          <w:sz w:val="24"/>
        </w:rPr>
        <w:t>废水评价标准根据废水排放去向</w:t>
      </w:r>
      <w:r>
        <w:rPr>
          <w:rFonts w:hint="eastAsia" w:ascii="Times New Roman" w:hAnsi="Times New Roman" w:cs="Times New Roman"/>
          <w:color w:val="auto"/>
          <w:sz w:val="24"/>
        </w:rPr>
        <w:t>或回用用途</w:t>
      </w:r>
      <w:r>
        <w:rPr>
          <w:rFonts w:ascii="Times New Roman" w:hAnsi="Times New Roman" w:cs="Times New Roman"/>
          <w:color w:val="auto"/>
          <w:sz w:val="24"/>
        </w:rPr>
        <w:t>确定，可参照地下水修复目标值、</w:t>
      </w:r>
      <w:r>
        <w:rPr>
          <w:rFonts w:hint="eastAsia" w:ascii="Times New Roman" w:hAnsi="Times New Roman" w:cs="Times New Roman"/>
          <w:color w:val="auto"/>
          <w:sz w:val="24"/>
        </w:rPr>
        <w:t>GB 8978</w:t>
      </w:r>
      <w:r>
        <w:rPr>
          <w:rFonts w:ascii="Times New Roman" w:hAnsi="Times New Roman" w:cs="Times New Roman"/>
          <w:color w:val="auto"/>
          <w:sz w:val="24"/>
        </w:rPr>
        <w:t>和DB 44/26</w:t>
      </w:r>
      <w:r>
        <w:rPr>
          <w:rFonts w:hint="eastAsia" w:ascii="Times New Roman" w:hAnsi="Times New Roman" w:cs="Times New Roman"/>
          <w:color w:val="auto"/>
          <w:sz w:val="24"/>
        </w:rPr>
        <w:t>、GB/T 18920</w:t>
      </w:r>
      <w:r>
        <w:rPr>
          <w:rFonts w:ascii="Times New Roman" w:hAnsi="Times New Roman" w:cs="Times New Roman"/>
          <w:color w:val="auto"/>
          <w:sz w:val="24"/>
        </w:rPr>
        <w:t>等标准</w:t>
      </w:r>
      <w:r>
        <w:rPr>
          <w:rFonts w:hint="eastAsia" w:ascii="Times New Roman" w:hAnsi="Times New Roman" w:cs="Times New Roman"/>
          <w:color w:val="auto"/>
          <w:sz w:val="24"/>
        </w:rPr>
        <w:t>，对于相关标准均未涉及的地块特征污染物或有毒有害中间产物，可与土壤污染状况调查阶段或修复工程实施前检测值进行对比评价</w:t>
      </w:r>
      <w:r>
        <w:rPr>
          <w:rFonts w:ascii="Times New Roman" w:hAnsi="Times New Roman" w:cs="Times New Roman"/>
          <w:color w:val="auto"/>
          <w:sz w:val="24"/>
        </w:rPr>
        <w:t>。</w:t>
      </w:r>
    </w:p>
    <w:bookmarkEnd w:id="104"/>
    <w:p>
      <w:pPr>
        <w:pStyle w:val="58"/>
        <w:numPr>
          <w:ilvl w:val="3"/>
          <w:numId w:val="9"/>
        </w:numPr>
        <w:spacing w:before="120" w:after="120" w:line="360" w:lineRule="auto"/>
        <w:rPr>
          <w:rFonts w:ascii="Times New Roman" w:hAnsi="Times New Roman" w:cs="Times New Roman"/>
          <w:color w:val="auto"/>
          <w:kern w:val="10"/>
          <w:sz w:val="24"/>
          <w:szCs w:val="24"/>
          <w:shd w:val="clear" w:color="auto" w:fill="FFFFFF"/>
        </w:rPr>
      </w:pPr>
      <w:r>
        <w:rPr>
          <w:rFonts w:ascii="Times New Roman" w:hAnsi="Times New Roman" w:cs="Times New Roman"/>
          <w:color w:val="auto"/>
          <w:kern w:val="10"/>
          <w:sz w:val="24"/>
          <w:szCs w:val="24"/>
          <w:shd w:val="clear" w:color="auto" w:fill="FFFFFF"/>
        </w:rPr>
        <w:t>地下水环境监测</w:t>
      </w:r>
    </w:p>
    <w:p>
      <w:pPr>
        <w:numPr>
          <w:ilvl w:val="0"/>
          <w:numId w:val="18"/>
        </w:numPr>
        <w:autoSpaceDE w:val="0"/>
        <w:autoSpaceDN w:val="0"/>
        <w:adjustRightInd w:val="0"/>
        <w:spacing w:line="360" w:lineRule="auto"/>
        <w:ind w:left="0" w:firstLine="420"/>
        <w:jc w:val="left"/>
        <w:rPr>
          <w:rFonts w:ascii="Times New Roman" w:hAnsi="Times New Roman" w:eastAsia="黑体" w:cs="Times New Roman"/>
          <w:color w:val="auto"/>
          <w:kern w:val="0"/>
          <w:sz w:val="24"/>
        </w:rPr>
      </w:pPr>
      <w:r>
        <w:rPr>
          <w:rFonts w:ascii="Times New Roman" w:hAnsi="Times New Roman" w:eastAsia="黑体" w:cs="Times New Roman"/>
          <w:color w:val="auto"/>
          <w:kern w:val="0"/>
          <w:sz w:val="24"/>
        </w:rPr>
        <w:t>监测项目</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rPr>
      </w:pPr>
      <w:bookmarkStart w:id="105" w:name="_Hlk42436912"/>
      <w:r>
        <w:rPr>
          <w:rFonts w:ascii="Times New Roman" w:hAnsi="Times New Roman" w:cs="Times New Roman"/>
          <w:color w:val="auto"/>
          <w:sz w:val="24"/>
        </w:rPr>
        <w:t>对可能受土壤污染修复工程和暂存影响的区域，进行地下水环境监测，监测指标包括土壤和地下水涉及的修复目标污染物，必要时包括有毒有害中间产物。</w:t>
      </w:r>
    </w:p>
    <w:bookmarkEnd w:id="105"/>
    <w:p>
      <w:pPr>
        <w:numPr>
          <w:ilvl w:val="0"/>
          <w:numId w:val="18"/>
        </w:numPr>
        <w:autoSpaceDE w:val="0"/>
        <w:autoSpaceDN w:val="0"/>
        <w:adjustRightInd w:val="0"/>
        <w:spacing w:line="360" w:lineRule="auto"/>
        <w:ind w:left="0" w:firstLine="420"/>
        <w:jc w:val="left"/>
        <w:rPr>
          <w:rFonts w:ascii="Times New Roman" w:hAnsi="Times New Roman" w:eastAsia="黑体" w:cs="Times New Roman"/>
          <w:color w:val="auto"/>
          <w:kern w:val="0"/>
          <w:sz w:val="24"/>
        </w:rPr>
      </w:pPr>
      <w:r>
        <w:rPr>
          <w:rFonts w:ascii="Times New Roman" w:hAnsi="Times New Roman" w:eastAsia="黑体" w:cs="Times New Roman"/>
          <w:color w:val="auto"/>
          <w:kern w:val="0"/>
          <w:sz w:val="24"/>
        </w:rPr>
        <w:t>监测点位和频次</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rPr>
      </w:pPr>
      <w:bookmarkStart w:id="106" w:name="_Hlk42436957"/>
      <w:r>
        <w:rPr>
          <w:rFonts w:ascii="Times New Roman" w:hAnsi="Times New Roman" w:cs="Times New Roman"/>
          <w:color w:val="auto"/>
          <w:sz w:val="24"/>
        </w:rPr>
        <w:t>地下水</w:t>
      </w:r>
      <w:r>
        <w:rPr>
          <w:rFonts w:hint="eastAsia" w:ascii="Times New Roman" w:hAnsi="Times New Roman" w:cs="Times New Roman"/>
          <w:color w:val="auto"/>
          <w:sz w:val="24"/>
        </w:rPr>
        <w:t>环境监测对象</w:t>
      </w:r>
      <w:r>
        <w:rPr>
          <w:rFonts w:ascii="Times New Roman" w:hAnsi="Times New Roman" w:cs="Times New Roman"/>
          <w:color w:val="auto"/>
          <w:sz w:val="24"/>
        </w:rPr>
        <w:t>主要为地块边界内或经地下水径流到边界外下游汇集区的浅层地下水。在可能发生二次污染且地质结构有利于污染物向深层土壤或地下水迁移的区域，则对深层地下水进行监测。</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rPr>
      </w:pPr>
      <w:r>
        <w:rPr>
          <w:rFonts w:ascii="Times New Roman" w:hAnsi="Times New Roman" w:cs="Times New Roman"/>
          <w:color w:val="auto"/>
          <w:sz w:val="24"/>
        </w:rPr>
        <w:t>监测点位沿地下水流向布设，可在地下水流向上游、地下水可能受到二次污染区域、地下水流向下游布设监测点位，地下水流向上、下游各至少1个点位。</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rPr>
      </w:pPr>
      <w:r>
        <w:rPr>
          <w:rFonts w:ascii="Times New Roman" w:hAnsi="Times New Roman" w:cs="Times New Roman"/>
          <w:color w:val="auto"/>
          <w:sz w:val="24"/>
        </w:rPr>
        <w:t>至少在土壤污染修复工程实施前、实施过程中、土壤污染修复工程完成后各监测1次</w:t>
      </w:r>
      <w:bookmarkEnd w:id="106"/>
      <w:r>
        <w:rPr>
          <w:rFonts w:ascii="Times New Roman" w:hAnsi="Times New Roman" w:cs="Times New Roman"/>
          <w:color w:val="auto"/>
          <w:sz w:val="24"/>
        </w:rPr>
        <w:t>。</w:t>
      </w:r>
    </w:p>
    <w:p>
      <w:pPr>
        <w:numPr>
          <w:ilvl w:val="0"/>
          <w:numId w:val="18"/>
        </w:numPr>
        <w:autoSpaceDE w:val="0"/>
        <w:autoSpaceDN w:val="0"/>
        <w:adjustRightInd w:val="0"/>
        <w:spacing w:line="360" w:lineRule="auto"/>
        <w:ind w:left="0" w:firstLine="420"/>
        <w:jc w:val="left"/>
        <w:rPr>
          <w:rFonts w:ascii="Times New Roman" w:hAnsi="Times New Roman" w:eastAsia="黑体" w:cs="Times New Roman"/>
          <w:color w:val="auto"/>
          <w:kern w:val="0"/>
          <w:sz w:val="24"/>
        </w:rPr>
      </w:pPr>
      <w:r>
        <w:rPr>
          <w:rFonts w:ascii="Times New Roman" w:hAnsi="Times New Roman" w:eastAsia="黑体" w:cs="Times New Roman"/>
          <w:color w:val="auto"/>
          <w:kern w:val="0"/>
          <w:sz w:val="24"/>
        </w:rPr>
        <w:t>评价标准</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rPr>
      </w:pPr>
      <w:bookmarkStart w:id="107" w:name="_Hlk42436982"/>
      <w:r>
        <w:rPr>
          <w:rFonts w:ascii="Times New Roman" w:hAnsi="Times New Roman" w:cs="Times New Roman"/>
          <w:color w:val="auto"/>
          <w:sz w:val="24"/>
        </w:rPr>
        <w:t>地下水环境评价标准依据土壤污染状况调查报告、风险评估报告及修复方案中地下水修复目标值或地下水质量标准</w:t>
      </w:r>
      <w:r>
        <w:rPr>
          <w:rFonts w:hint="eastAsia" w:ascii="Times New Roman" w:hAnsi="Times New Roman" w:cs="Times New Roman"/>
          <w:color w:val="auto"/>
          <w:sz w:val="24"/>
        </w:rPr>
        <w:t>等</w:t>
      </w:r>
      <w:r>
        <w:rPr>
          <w:rFonts w:ascii="Times New Roman" w:hAnsi="Times New Roman" w:cs="Times New Roman"/>
          <w:color w:val="auto"/>
          <w:sz w:val="24"/>
        </w:rPr>
        <w:t>。</w:t>
      </w:r>
    </w:p>
    <w:bookmarkEnd w:id="107"/>
    <w:p>
      <w:pPr>
        <w:pStyle w:val="58"/>
        <w:numPr>
          <w:ilvl w:val="3"/>
          <w:numId w:val="9"/>
        </w:numPr>
        <w:spacing w:before="120" w:after="120" w:line="360" w:lineRule="auto"/>
        <w:rPr>
          <w:rFonts w:ascii="Times New Roman" w:hAnsi="Times New Roman" w:cs="Times New Roman"/>
          <w:color w:val="auto"/>
          <w:kern w:val="10"/>
          <w:sz w:val="24"/>
          <w:szCs w:val="24"/>
          <w:shd w:val="clear" w:color="auto" w:fill="FFFFFF"/>
        </w:rPr>
      </w:pPr>
      <w:r>
        <w:rPr>
          <w:rFonts w:ascii="Times New Roman" w:hAnsi="Times New Roman" w:cs="Times New Roman"/>
          <w:color w:val="auto"/>
          <w:kern w:val="10"/>
          <w:sz w:val="24"/>
          <w:szCs w:val="24"/>
          <w:shd w:val="clear" w:color="auto" w:fill="FFFFFF"/>
        </w:rPr>
        <w:t>噪声环境监测</w:t>
      </w:r>
    </w:p>
    <w:p>
      <w:pPr>
        <w:numPr>
          <w:ilvl w:val="0"/>
          <w:numId w:val="19"/>
        </w:numPr>
        <w:autoSpaceDE w:val="0"/>
        <w:autoSpaceDN w:val="0"/>
        <w:adjustRightInd w:val="0"/>
        <w:spacing w:line="360" w:lineRule="auto"/>
        <w:ind w:left="0" w:firstLine="420"/>
        <w:jc w:val="left"/>
        <w:rPr>
          <w:rFonts w:ascii="Times New Roman" w:hAnsi="Times New Roman" w:eastAsia="黑体" w:cs="Times New Roman"/>
          <w:color w:val="auto"/>
          <w:kern w:val="0"/>
          <w:sz w:val="24"/>
        </w:rPr>
      </w:pPr>
      <w:r>
        <w:rPr>
          <w:rFonts w:ascii="Times New Roman" w:hAnsi="Times New Roman" w:eastAsia="黑体" w:cs="Times New Roman"/>
          <w:color w:val="auto"/>
          <w:kern w:val="0"/>
          <w:sz w:val="24"/>
        </w:rPr>
        <w:t>噪声环境监测项目</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rPr>
      </w:pPr>
      <w:r>
        <w:rPr>
          <w:rFonts w:ascii="Times New Roman" w:hAnsi="Times New Roman" w:cs="Times New Roman"/>
          <w:color w:val="auto"/>
          <w:sz w:val="24"/>
        </w:rPr>
        <w:t>为监督土壤污染修复区域及其影响区域的噪声环境质量达到相应的标准，在土壤污染修复工程施工期，在周边有代表性的环境敏感点测定等效连续A声级，夜间施工测定夜间噪声最大声级。</w:t>
      </w:r>
    </w:p>
    <w:p>
      <w:pPr>
        <w:numPr>
          <w:ilvl w:val="0"/>
          <w:numId w:val="19"/>
        </w:numPr>
        <w:autoSpaceDE w:val="0"/>
        <w:autoSpaceDN w:val="0"/>
        <w:adjustRightInd w:val="0"/>
        <w:spacing w:line="360" w:lineRule="auto"/>
        <w:ind w:left="0" w:firstLine="420"/>
        <w:jc w:val="left"/>
        <w:rPr>
          <w:rFonts w:ascii="Times New Roman" w:hAnsi="Times New Roman" w:eastAsia="黑体" w:cs="Times New Roman"/>
          <w:color w:val="auto"/>
          <w:kern w:val="0"/>
          <w:sz w:val="24"/>
        </w:rPr>
      </w:pPr>
      <w:r>
        <w:rPr>
          <w:rFonts w:ascii="Times New Roman" w:hAnsi="Times New Roman" w:eastAsia="黑体" w:cs="Times New Roman"/>
          <w:color w:val="auto"/>
          <w:kern w:val="0"/>
          <w:sz w:val="24"/>
        </w:rPr>
        <w:t>噪声环境监测点位和频次</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rPr>
      </w:pPr>
      <w:r>
        <w:rPr>
          <w:rFonts w:ascii="Times New Roman" w:hAnsi="Times New Roman" w:cs="Times New Roman"/>
          <w:color w:val="auto"/>
          <w:sz w:val="24"/>
        </w:rPr>
        <w:t>声环境监测点布设于土壤污染修复区域边界及地块周边环境敏感点，在200米范围内受影响最近的有代表性环境敏感点布设至少1个监测点位。</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rPr>
      </w:pPr>
      <w:r>
        <w:rPr>
          <w:rFonts w:ascii="Times New Roman" w:hAnsi="Times New Roman" w:cs="Times New Roman"/>
          <w:color w:val="auto"/>
          <w:sz w:val="24"/>
        </w:rPr>
        <w:t>监测频次至少在土壤污染修复工程实施前、实施过程中、土壤污染修复工程完成后各监测1次，涉及夜间施工的，昼间夜间各监测1次</w:t>
      </w:r>
      <w:r>
        <w:rPr>
          <w:rFonts w:hint="eastAsia" w:ascii="Times New Roman" w:hAnsi="Times New Roman" w:cs="Times New Roman"/>
          <w:color w:val="auto"/>
          <w:sz w:val="24"/>
        </w:rPr>
        <w:t>，工程实施过程中至少每月1次。</w:t>
      </w:r>
    </w:p>
    <w:p>
      <w:pPr>
        <w:numPr>
          <w:ilvl w:val="0"/>
          <w:numId w:val="19"/>
        </w:numPr>
        <w:autoSpaceDE w:val="0"/>
        <w:autoSpaceDN w:val="0"/>
        <w:adjustRightInd w:val="0"/>
        <w:spacing w:line="360" w:lineRule="auto"/>
        <w:ind w:left="0" w:firstLine="420"/>
        <w:jc w:val="left"/>
        <w:rPr>
          <w:rFonts w:ascii="Times New Roman" w:hAnsi="Times New Roman" w:eastAsia="黑体" w:cs="Times New Roman"/>
          <w:color w:val="auto"/>
          <w:kern w:val="0"/>
          <w:sz w:val="24"/>
        </w:rPr>
      </w:pPr>
      <w:r>
        <w:rPr>
          <w:rFonts w:ascii="Times New Roman" w:hAnsi="Times New Roman" w:eastAsia="黑体" w:cs="Times New Roman"/>
          <w:color w:val="auto"/>
          <w:kern w:val="0"/>
          <w:sz w:val="24"/>
        </w:rPr>
        <w:t>噪声环境评价方法</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rPr>
      </w:pPr>
      <w:r>
        <w:rPr>
          <w:rFonts w:ascii="Times New Roman" w:hAnsi="Times New Roman" w:cs="Times New Roman"/>
          <w:color w:val="auto"/>
          <w:sz w:val="24"/>
        </w:rPr>
        <w:t>声环境评价标准可依据GB 12523</w:t>
      </w:r>
      <w:r>
        <w:rPr>
          <w:rFonts w:hint="eastAsia" w:ascii="Times New Roman" w:hAnsi="Times New Roman" w:cs="Times New Roman"/>
          <w:color w:val="auto"/>
          <w:sz w:val="24"/>
        </w:rPr>
        <w:t>、GB 3096</w:t>
      </w:r>
      <w:r>
        <w:rPr>
          <w:rFonts w:ascii="Times New Roman" w:hAnsi="Times New Roman" w:cs="Times New Roman"/>
          <w:color w:val="auto"/>
          <w:sz w:val="24"/>
        </w:rPr>
        <w:t>等相关标准。</w:t>
      </w:r>
    </w:p>
    <w:p>
      <w:pPr>
        <w:pStyle w:val="58"/>
        <w:numPr>
          <w:ilvl w:val="2"/>
          <w:numId w:val="9"/>
        </w:numPr>
        <w:spacing w:line="360" w:lineRule="auto"/>
        <w:ind w:left="0"/>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特殊情况的环境监理</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rPr>
      </w:pPr>
      <w:r>
        <w:rPr>
          <w:rFonts w:ascii="Times New Roman" w:hAnsi="Times New Roman" w:cs="Times New Roman"/>
          <w:color w:val="auto"/>
          <w:sz w:val="24"/>
        </w:rPr>
        <w:t>特殊情况的环境监理包括隐蔽性工程的环境监理（如防渗设施建设、修复后土壤回填等）、雨季（大风）天气的环境监理、环境风险应急的环境监理、与环境保护相关重大变更的环境监理。</w:t>
      </w:r>
    </w:p>
    <w:p>
      <w:pPr>
        <w:pStyle w:val="58"/>
        <w:numPr>
          <w:ilvl w:val="3"/>
          <w:numId w:val="9"/>
        </w:numPr>
        <w:spacing w:before="120" w:after="120" w:line="360" w:lineRule="auto"/>
        <w:rPr>
          <w:rFonts w:ascii="Times New Roman" w:hAnsi="Times New Roman" w:cs="Times New Roman"/>
          <w:color w:val="auto"/>
          <w:kern w:val="10"/>
          <w:sz w:val="24"/>
          <w:szCs w:val="24"/>
          <w:shd w:val="clear" w:color="auto" w:fill="FFFFFF"/>
        </w:rPr>
      </w:pPr>
      <w:r>
        <w:rPr>
          <w:rFonts w:ascii="Times New Roman" w:hAnsi="Times New Roman" w:cs="Times New Roman"/>
          <w:color w:val="auto"/>
          <w:kern w:val="10"/>
          <w:sz w:val="24"/>
          <w:szCs w:val="24"/>
          <w:shd w:val="clear" w:color="auto" w:fill="FFFFFF"/>
        </w:rPr>
        <w:t>隐蔽性工程的环境监理</w:t>
      </w:r>
    </w:p>
    <w:p>
      <w:pPr>
        <w:pStyle w:val="59"/>
        <w:spacing w:line="360" w:lineRule="auto"/>
        <w:ind w:firstLine="480"/>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隐蔽性工程主要包括防渗设施建设和修复后土壤回填等。</w:t>
      </w:r>
    </w:p>
    <w:p>
      <w:pPr>
        <w:numPr>
          <w:ilvl w:val="0"/>
          <w:numId w:val="20"/>
        </w:numPr>
        <w:autoSpaceDE w:val="0"/>
        <w:autoSpaceDN w:val="0"/>
        <w:adjustRightInd w:val="0"/>
        <w:spacing w:line="360" w:lineRule="auto"/>
        <w:ind w:left="0" w:firstLine="420"/>
        <w:jc w:val="left"/>
        <w:outlineLvl w:val="3"/>
        <w:rPr>
          <w:rFonts w:ascii="Times New Roman" w:hAnsi="Times New Roman" w:cs="Times New Roman"/>
          <w:color w:val="auto"/>
          <w:kern w:val="0"/>
          <w:sz w:val="24"/>
          <w:szCs w:val="24"/>
        </w:rPr>
      </w:pPr>
      <w:r>
        <w:rPr>
          <w:rFonts w:ascii="Times New Roman" w:hAnsi="Times New Roman" w:eastAsia="黑体" w:cs="Times New Roman"/>
          <w:color w:val="auto"/>
          <w:kern w:val="0"/>
          <w:sz w:val="24"/>
          <w:szCs w:val="24"/>
        </w:rPr>
        <w:t>防渗设施建设的环境监理</w:t>
      </w:r>
    </w:p>
    <w:p>
      <w:pPr>
        <w:numPr>
          <w:ilvl w:val="0"/>
          <w:numId w:val="10"/>
        </w:numPr>
        <w:autoSpaceDE w:val="0"/>
        <w:autoSpaceDN w:val="0"/>
        <w:adjustRightInd w:val="0"/>
        <w:spacing w:line="360" w:lineRule="auto"/>
        <w:ind w:firstLine="480" w:firstLineChars="200"/>
        <w:jc w:val="left"/>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对于土壤污染修复过程中的防渗设施建设，采用巡视和旁站</w:t>
      </w:r>
      <w:r>
        <w:rPr>
          <w:rFonts w:hint="eastAsia" w:ascii="Times New Roman" w:hAnsi="Times New Roman" w:eastAsia="宋体" w:cs="Times New Roman"/>
          <w:color w:val="auto"/>
          <w:sz w:val="24"/>
          <w:szCs w:val="24"/>
        </w:rPr>
        <w:t>等</w:t>
      </w:r>
      <w:r>
        <w:rPr>
          <w:rFonts w:ascii="Times New Roman" w:hAnsi="Times New Roman" w:eastAsia="宋体" w:cs="Times New Roman"/>
          <w:color w:val="auto"/>
          <w:sz w:val="24"/>
          <w:szCs w:val="24"/>
        </w:rPr>
        <w:t>方法进行监理，监督施工单位对土壤暂存区、化学品和油品暂存区、</w:t>
      </w:r>
      <w:r>
        <w:rPr>
          <w:rFonts w:ascii="Times New Roman" w:hAnsi="Times New Roman" w:cs="Times New Roman"/>
          <w:color w:val="auto"/>
          <w:sz w:val="24"/>
        </w:rPr>
        <w:t>修复设施（车间）</w:t>
      </w:r>
      <w:r>
        <w:rPr>
          <w:rFonts w:ascii="Times New Roman" w:hAnsi="Times New Roman" w:eastAsia="宋体" w:cs="Times New Roman"/>
          <w:color w:val="auto"/>
          <w:sz w:val="24"/>
          <w:szCs w:val="24"/>
        </w:rPr>
        <w:t>的地面进行防渗处理或硬化处理，并采集、留存影像资料</w:t>
      </w:r>
      <w:r>
        <w:rPr>
          <w:rFonts w:hint="eastAsia" w:ascii="Times New Roman" w:hAnsi="Times New Roman" w:eastAsia="宋体" w:cs="Times New Roman"/>
          <w:color w:val="auto"/>
          <w:sz w:val="24"/>
          <w:szCs w:val="24"/>
        </w:rPr>
        <w:t>。</w:t>
      </w:r>
    </w:p>
    <w:p>
      <w:pPr>
        <w:numPr>
          <w:ilvl w:val="0"/>
          <w:numId w:val="20"/>
        </w:numPr>
        <w:autoSpaceDE w:val="0"/>
        <w:autoSpaceDN w:val="0"/>
        <w:adjustRightInd w:val="0"/>
        <w:spacing w:line="360" w:lineRule="auto"/>
        <w:ind w:left="0" w:firstLine="420"/>
        <w:jc w:val="left"/>
        <w:outlineLvl w:val="3"/>
        <w:rPr>
          <w:rFonts w:ascii="Times New Roman" w:hAnsi="Times New Roman" w:cs="Times New Roman"/>
          <w:color w:val="auto"/>
          <w:kern w:val="0"/>
          <w:sz w:val="24"/>
          <w:szCs w:val="24"/>
        </w:rPr>
      </w:pPr>
      <w:r>
        <w:rPr>
          <w:rFonts w:ascii="Times New Roman" w:hAnsi="Times New Roman" w:eastAsia="黑体" w:cs="Times New Roman"/>
          <w:color w:val="auto"/>
          <w:kern w:val="0"/>
          <w:sz w:val="24"/>
          <w:szCs w:val="24"/>
        </w:rPr>
        <w:t>固化稳定化修复后土壤阻隔回填的环境监理</w:t>
      </w:r>
    </w:p>
    <w:p>
      <w:pPr>
        <w:numPr>
          <w:ilvl w:val="0"/>
          <w:numId w:val="10"/>
        </w:numPr>
        <w:autoSpaceDE w:val="0"/>
        <w:autoSpaceDN w:val="0"/>
        <w:adjustRightInd w:val="0"/>
        <w:spacing w:line="360" w:lineRule="auto"/>
        <w:ind w:firstLine="480" w:firstLineChars="200"/>
        <w:jc w:val="left"/>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在土壤污染修复效果评估达标且完成阻隔回填区建设后开展土壤回填，根据修复方案和土地利用规划，合理进行回填，并做好防渗措施，并采集、留存影像资料。</w:t>
      </w:r>
    </w:p>
    <w:p>
      <w:pPr>
        <w:numPr>
          <w:ilvl w:val="0"/>
          <w:numId w:val="21"/>
        </w:numPr>
        <w:autoSpaceDE w:val="0"/>
        <w:autoSpaceDN w:val="0"/>
        <w:adjustRightInd w:val="0"/>
        <w:spacing w:line="360" w:lineRule="auto"/>
        <w:ind w:firstLine="463" w:firstLineChars="193"/>
        <w:jc w:val="left"/>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监督阻隔回填区是否按照修复方案进行建设，防渗措施是否到位；</w:t>
      </w:r>
    </w:p>
    <w:p>
      <w:pPr>
        <w:numPr>
          <w:ilvl w:val="0"/>
          <w:numId w:val="21"/>
        </w:numPr>
        <w:autoSpaceDE w:val="0"/>
        <w:autoSpaceDN w:val="0"/>
        <w:adjustRightInd w:val="0"/>
        <w:spacing w:line="360" w:lineRule="auto"/>
        <w:ind w:firstLine="463" w:firstLineChars="193"/>
        <w:jc w:val="left"/>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采用核查</w:t>
      </w:r>
      <w:r>
        <w:rPr>
          <w:rFonts w:hint="eastAsia" w:ascii="Times New Roman" w:hAnsi="Times New Roman" w:eastAsia="宋体" w:cs="Times New Roman"/>
          <w:color w:val="auto"/>
          <w:sz w:val="24"/>
          <w:szCs w:val="24"/>
        </w:rPr>
        <w:t>等</w:t>
      </w:r>
      <w:r>
        <w:rPr>
          <w:rFonts w:ascii="Times New Roman" w:hAnsi="Times New Roman" w:eastAsia="宋体" w:cs="Times New Roman"/>
          <w:color w:val="auto"/>
          <w:sz w:val="24"/>
          <w:szCs w:val="24"/>
        </w:rPr>
        <w:t>方法监督施工单位做好固化稳定化修复后土壤</w:t>
      </w:r>
      <w:r>
        <w:rPr>
          <w:rFonts w:hint="eastAsia" w:ascii="Times New Roman" w:hAnsi="Times New Roman" w:eastAsia="宋体" w:cs="Times New Roman"/>
          <w:color w:val="auto"/>
          <w:sz w:val="24"/>
          <w:szCs w:val="24"/>
        </w:rPr>
        <w:t>的</w:t>
      </w:r>
      <w:r>
        <w:rPr>
          <w:rFonts w:ascii="Times New Roman" w:hAnsi="Times New Roman" w:eastAsia="宋体" w:cs="Times New Roman"/>
          <w:color w:val="auto"/>
          <w:sz w:val="24"/>
          <w:szCs w:val="24"/>
        </w:rPr>
        <w:t>流转记录；</w:t>
      </w:r>
    </w:p>
    <w:p>
      <w:pPr>
        <w:numPr>
          <w:ilvl w:val="0"/>
          <w:numId w:val="21"/>
        </w:numPr>
        <w:autoSpaceDE w:val="0"/>
        <w:autoSpaceDN w:val="0"/>
        <w:adjustRightInd w:val="0"/>
        <w:spacing w:line="360" w:lineRule="auto"/>
        <w:ind w:firstLine="463" w:firstLineChars="193"/>
        <w:jc w:val="left"/>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采用巡视</w:t>
      </w:r>
      <w:r>
        <w:rPr>
          <w:rFonts w:hint="eastAsia" w:ascii="Times New Roman" w:hAnsi="Times New Roman" w:eastAsia="宋体" w:cs="Times New Roman"/>
          <w:color w:val="auto"/>
          <w:sz w:val="24"/>
          <w:szCs w:val="24"/>
        </w:rPr>
        <w:t>等</w:t>
      </w:r>
      <w:r>
        <w:rPr>
          <w:rFonts w:ascii="Times New Roman" w:hAnsi="Times New Roman" w:eastAsia="宋体" w:cs="Times New Roman"/>
          <w:color w:val="auto"/>
          <w:sz w:val="24"/>
          <w:szCs w:val="24"/>
        </w:rPr>
        <w:t>方法监督基坑回填土壤分层铺摊与压实，每层铺摊后，随之压实；</w:t>
      </w:r>
    </w:p>
    <w:p>
      <w:pPr>
        <w:numPr>
          <w:ilvl w:val="0"/>
          <w:numId w:val="21"/>
        </w:numPr>
        <w:autoSpaceDE w:val="0"/>
        <w:autoSpaceDN w:val="0"/>
        <w:adjustRightInd w:val="0"/>
        <w:spacing w:line="360" w:lineRule="auto"/>
        <w:ind w:firstLine="463" w:firstLineChars="193"/>
        <w:jc w:val="left"/>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监督雨季期间做好基槽的截洪和排水，必要时可设置集水坑；</w:t>
      </w:r>
    </w:p>
    <w:p>
      <w:pPr>
        <w:numPr>
          <w:ilvl w:val="0"/>
          <w:numId w:val="21"/>
        </w:numPr>
        <w:autoSpaceDE w:val="0"/>
        <w:autoSpaceDN w:val="0"/>
        <w:adjustRightInd w:val="0"/>
        <w:spacing w:line="360" w:lineRule="auto"/>
        <w:ind w:firstLine="463" w:firstLineChars="193"/>
        <w:jc w:val="left"/>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采用核查、巡视等方法监督施工单位</w:t>
      </w:r>
      <w:r>
        <w:rPr>
          <w:rFonts w:hint="eastAsia" w:ascii="Times New Roman" w:hAnsi="Times New Roman" w:eastAsia="宋体" w:cs="Times New Roman"/>
          <w:color w:val="auto"/>
          <w:sz w:val="24"/>
          <w:szCs w:val="24"/>
        </w:rPr>
        <w:t>防控</w:t>
      </w:r>
      <w:r>
        <w:rPr>
          <w:rFonts w:ascii="Times New Roman" w:hAnsi="Times New Roman" w:eastAsia="宋体" w:cs="Times New Roman"/>
          <w:color w:val="auto"/>
          <w:sz w:val="24"/>
          <w:szCs w:val="24"/>
        </w:rPr>
        <w:t>回填过程中造成的扬尘污染。</w:t>
      </w:r>
    </w:p>
    <w:p>
      <w:pPr>
        <w:numPr>
          <w:ilvl w:val="0"/>
          <w:numId w:val="20"/>
        </w:numPr>
        <w:autoSpaceDE w:val="0"/>
        <w:autoSpaceDN w:val="0"/>
        <w:adjustRightInd w:val="0"/>
        <w:spacing w:line="360" w:lineRule="auto"/>
        <w:ind w:left="0" w:firstLine="420"/>
        <w:jc w:val="left"/>
        <w:outlineLvl w:val="3"/>
        <w:rPr>
          <w:rFonts w:ascii="Times New Roman" w:hAnsi="Times New Roman" w:eastAsia="黑体" w:cs="Times New Roman"/>
          <w:color w:val="auto"/>
          <w:kern w:val="0"/>
          <w:sz w:val="24"/>
          <w:szCs w:val="24"/>
        </w:rPr>
      </w:pPr>
      <w:r>
        <w:rPr>
          <w:rFonts w:ascii="Times New Roman" w:hAnsi="Times New Roman" w:eastAsia="黑体" w:cs="Times New Roman"/>
          <w:color w:val="auto"/>
          <w:kern w:val="0"/>
          <w:sz w:val="24"/>
          <w:szCs w:val="24"/>
        </w:rPr>
        <w:t>其他隐蔽性工程的环境监理可参照上述情况执行。</w:t>
      </w:r>
    </w:p>
    <w:p>
      <w:pPr>
        <w:pStyle w:val="58"/>
        <w:numPr>
          <w:ilvl w:val="3"/>
          <w:numId w:val="9"/>
        </w:numPr>
        <w:spacing w:before="120" w:after="120" w:line="360" w:lineRule="auto"/>
        <w:rPr>
          <w:rFonts w:ascii="Times New Roman" w:hAnsi="Times New Roman" w:cs="Times New Roman"/>
          <w:color w:val="auto"/>
          <w:kern w:val="10"/>
          <w:sz w:val="24"/>
          <w:szCs w:val="24"/>
          <w:shd w:val="clear" w:color="auto" w:fill="FFFFFF"/>
        </w:rPr>
      </w:pPr>
      <w:r>
        <w:rPr>
          <w:rFonts w:ascii="Times New Roman" w:hAnsi="Times New Roman" w:cs="Times New Roman"/>
          <w:color w:val="auto"/>
          <w:kern w:val="10"/>
          <w:sz w:val="24"/>
          <w:szCs w:val="24"/>
          <w:shd w:val="clear" w:color="auto" w:fill="FFFFFF"/>
        </w:rPr>
        <w:t>雨季（大风）天气的环境监理</w:t>
      </w:r>
    </w:p>
    <w:p>
      <w:pPr>
        <w:numPr>
          <w:ilvl w:val="0"/>
          <w:numId w:val="10"/>
        </w:numPr>
        <w:autoSpaceDE w:val="0"/>
        <w:autoSpaceDN w:val="0"/>
        <w:adjustRightInd w:val="0"/>
        <w:spacing w:line="360" w:lineRule="auto"/>
        <w:ind w:firstLine="480" w:firstLineChars="200"/>
        <w:jc w:val="left"/>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环境监理单位根据工期所处时间做好准备，督促施工单位做好二次污染</w:t>
      </w:r>
      <w:r>
        <w:rPr>
          <w:rFonts w:hint="eastAsia" w:ascii="Times New Roman" w:hAnsi="Times New Roman" w:eastAsia="宋体" w:cs="Times New Roman"/>
          <w:color w:val="auto"/>
          <w:sz w:val="24"/>
          <w:szCs w:val="24"/>
        </w:rPr>
        <w:t>防控</w:t>
      </w:r>
      <w:r>
        <w:rPr>
          <w:rFonts w:ascii="Times New Roman" w:hAnsi="Times New Roman" w:eastAsia="宋体" w:cs="Times New Roman"/>
          <w:color w:val="auto"/>
          <w:sz w:val="24"/>
          <w:szCs w:val="24"/>
        </w:rPr>
        <w:t>及安全工作。</w:t>
      </w:r>
    </w:p>
    <w:p>
      <w:pPr>
        <w:numPr>
          <w:ilvl w:val="0"/>
          <w:numId w:val="22"/>
        </w:numPr>
        <w:autoSpaceDE w:val="0"/>
        <w:autoSpaceDN w:val="0"/>
        <w:adjustRightInd w:val="0"/>
        <w:spacing w:line="360" w:lineRule="auto"/>
        <w:ind w:left="0" w:firstLine="480" w:firstLineChars="200"/>
        <w:jc w:val="left"/>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 xml:space="preserve"> </w:t>
      </w:r>
      <w:r>
        <w:rPr>
          <w:rFonts w:ascii="Times New Roman" w:hAnsi="Times New Roman" w:eastAsia="宋体" w:cs="Times New Roman"/>
          <w:color w:val="auto"/>
          <w:sz w:val="24"/>
          <w:szCs w:val="24"/>
        </w:rPr>
        <w:t>做好施工人员的雨季施工培训工作，定期检查防汛措施落实情况，遇到问题及时解决，随时掌握近期内的天气变化情况，及时反馈信息</w:t>
      </w:r>
      <w:r>
        <w:rPr>
          <w:rFonts w:hint="eastAsia" w:ascii="Times New Roman" w:hAnsi="Times New Roman" w:eastAsia="宋体" w:cs="Times New Roman"/>
          <w:color w:val="auto"/>
          <w:sz w:val="24"/>
          <w:szCs w:val="24"/>
        </w:rPr>
        <w:t>；</w:t>
      </w:r>
    </w:p>
    <w:p>
      <w:pPr>
        <w:numPr>
          <w:ilvl w:val="0"/>
          <w:numId w:val="22"/>
        </w:numPr>
        <w:autoSpaceDE w:val="0"/>
        <w:autoSpaceDN w:val="0"/>
        <w:adjustRightInd w:val="0"/>
        <w:spacing w:line="360" w:lineRule="auto"/>
        <w:ind w:left="0" w:firstLine="480" w:firstLineChars="200"/>
        <w:jc w:val="left"/>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 xml:space="preserve"> </w:t>
      </w:r>
      <w:r>
        <w:rPr>
          <w:rFonts w:ascii="Times New Roman" w:hAnsi="Times New Roman" w:eastAsia="宋体" w:cs="Times New Roman"/>
          <w:color w:val="auto"/>
          <w:sz w:val="24"/>
          <w:szCs w:val="24"/>
        </w:rPr>
        <w:t>对临建大棚、药剂堆放区、土壤暂存区等建筑物进行检查，督促施工单位做好防雨防漏防渗工作，尤其加强对雨水侵入腐蚀风险高的物理通风处置系统（如气体净化吸附罐、风机、空气管路）及作业机械设备进行检查；</w:t>
      </w:r>
    </w:p>
    <w:p>
      <w:pPr>
        <w:numPr>
          <w:ilvl w:val="0"/>
          <w:numId w:val="22"/>
        </w:numPr>
        <w:autoSpaceDE w:val="0"/>
        <w:autoSpaceDN w:val="0"/>
        <w:adjustRightInd w:val="0"/>
        <w:spacing w:line="360" w:lineRule="auto"/>
        <w:ind w:left="0" w:firstLine="480" w:firstLineChars="200"/>
        <w:jc w:val="left"/>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 xml:space="preserve"> </w:t>
      </w:r>
      <w:r>
        <w:rPr>
          <w:rFonts w:ascii="Times New Roman" w:hAnsi="Times New Roman" w:eastAsia="宋体" w:cs="Times New Roman"/>
          <w:color w:val="auto"/>
          <w:sz w:val="24"/>
          <w:szCs w:val="24"/>
        </w:rPr>
        <w:t>督促施工单位在工程现场及边坡四周做好排水措施，</w:t>
      </w:r>
      <w:r>
        <w:rPr>
          <w:rFonts w:hint="eastAsia" w:ascii="Times New Roman" w:hAnsi="Times New Roman" w:eastAsia="宋体" w:cs="Times New Roman"/>
          <w:color w:val="auto"/>
          <w:sz w:val="24"/>
          <w:szCs w:val="24"/>
        </w:rPr>
        <w:t>做到雨污分流；</w:t>
      </w:r>
      <w:r>
        <w:rPr>
          <w:rFonts w:ascii="Times New Roman" w:hAnsi="Times New Roman" w:eastAsia="宋体" w:cs="Times New Roman"/>
          <w:color w:val="auto"/>
          <w:sz w:val="24"/>
          <w:szCs w:val="24"/>
        </w:rPr>
        <w:t>未通过土壤污染修复效果评估的基坑加强苫盖，防止造成二次污染；</w:t>
      </w:r>
    </w:p>
    <w:p>
      <w:pPr>
        <w:numPr>
          <w:ilvl w:val="0"/>
          <w:numId w:val="22"/>
        </w:numPr>
        <w:autoSpaceDE w:val="0"/>
        <w:autoSpaceDN w:val="0"/>
        <w:adjustRightInd w:val="0"/>
        <w:spacing w:line="360" w:lineRule="auto"/>
        <w:ind w:left="0" w:firstLine="480" w:firstLineChars="200"/>
        <w:jc w:val="left"/>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 xml:space="preserve"> </w:t>
      </w:r>
      <w:r>
        <w:rPr>
          <w:rFonts w:ascii="Times New Roman" w:hAnsi="Times New Roman" w:eastAsia="宋体" w:cs="Times New Roman"/>
          <w:color w:val="auto"/>
          <w:sz w:val="24"/>
          <w:szCs w:val="24"/>
        </w:rPr>
        <w:t>实施过程中如遇降雨，督促施工单位对开挖区和与污染物接触的设备加强防护；</w:t>
      </w:r>
    </w:p>
    <w:p>
      <w:pPr>
        <w:numPr>
          <w:ilvl w:val="0"/>
          <w:numId w:val="22"/>
        </w:numPr>
        <w:autoSpaceDE w:val="0"/>
        <w:autoSpaceDN w:val="0"/>
        <w:adjustRightInd w:val="0"/>
        <w:spacing w:line="360" w:lineRule="auto"/>
        <w:ind w:left="0" w:firstLine="480" w:firstLineChars="200"/>
        <w:jc w:val="left"/>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 xml:space="preserve"> </w:t>
      </w:r>
      <w:r>
        <w:rPr>
          <w:rFonts w:ascii="Times New Roman" w:hAnsi="Times New Roman" w:eastAsia="宋体" w:cs="Times New Roman"/>
          <w:color w:val="auto"/>
          <w:sz w:val="24"/>
          <w:szCs w:val="24"/>
        </w:rPr>
        <w:t>遇大风时，通知施工单位停止土方回填、转运作业，落实相关二次污染防范措施，确保不会发生扬尘、污染物向周边扩散等</w:t>
      </w:r>
      <w:r>
        <w:rPr>
          <w:rFonts w:hint="eastAsia" w:ascii="Times New Roman" w:hAnsi="Times New Roman" w:eastAsia="宋体" w:cs="Times New Roman"/>
          <w:color w:val="auto"/>
          <w:sz w:val="24"/>
          <w:szCs w:val="24"/>
        </w:rPr>
        <w:t>二次污染情况</w:t>
      </w:r>
      <w:r>
        <w:rPr>
          <w:rFonts w:ascii="Times New Roman" w:hAnsi="Times New Roman" w:eastAsia="宋体" w:cs="Times New Roman"/>
          <w:color w:val="auto"/>
          <w:sz w:val="24"/>
          <w:szCs w:val="24"/>
        </w:rPr>
        <w:t>。</w:t>
      </w:r>
    </w:p>
    <w:p>
      <w:pPr>
        <w:pStyle w:val="58"/>
        <w:numPr>
          <w:ilvl w:val="3"/>
          <w:numId w:val="9"/>
        </w:numPr>
        <w:spacing w:before="120" w:after="120" w:line="360" w:lineRule="auto"/>
        <w:rPr>
          <w:rFonts w:ascii="Times New Roman" w:hAnsi="Times New Roman" w:cs="Times New Roman"/>
          <w:color w:val="auto"/>
          <w:kern w:val="10"/>
          <w:sz w:val="24"/>
          <w:szCs w:val="24"/>
          <w:shd w:val="clear" w:color="auto" w:fill="FFFFFF"/>
        </w:rPr>
      </w:pPr>
      <w:r>
        <w:rPr>
          <w:rFonts w:ascii="Times New Roman" w:hAnsi="Times New Roman" w:cs="Times New Roman"/>
          <w:color w:val="auto"/>
          <w:kern w:val="10"/>
          <w:sz w:val="24"/>
          <w:szCs w:val="24"/>
          <w:shd w:val="clear" w:color="auto" w:fill="FFFFFF"/>
        </w:rPr>
        <w:t>环境风险</w:t>
      </w:r>
      <w:r>
        <w:rPr>
          <w:rFonts w:hint="eastAsia" w:ascii="Times New Roman" w:hAnsi="Times New Roman" w:cs="Times New Roman"/>
          <w:color w:val="auto"/>
          <w:kern w:val="10"/>
          <w:sz w:val="24"/>
          <w:szCs w:val="24"/>
          <w:shd w:val="clear" w:color="auto" w:fill="FFFFFF"/>
        </w:rPr>
        <w:t>应急</w:t>
      </w:r>
      <w:r>
        <w:rPr>
          <w:rFonts w:ascii="Times New Roman" w:hAnsi="Times New Roman" w:cs="Times New Roman"/>
          <w:color w:val="auto"/>
          <w:kern w:val="10"/>
          <w:sz w:val="24"/>
          <w:szCs w:val="24"/>
          <w:shd w:val="clear" w:color="auto" w:fill="FFFFFF"/>
        </w:rPr>
        <w:t>的环境监理</w:t>
      </w:r>
    </w:p>
    <w:p>
      <w:pPr>
        <w:numPr>
          <w:ilvl w:val="0"/>
          <w:numId w:val="10"/>
        </w:numPr>
        <w:autoSpaceDE w:val="0"/>
        <w:autoSpaceDN w:val="0"/>
        <w:adjustRightInd w:val="0"/>
        <w:spacing w:line="360" w:lineRule="auto"/>
        <w:ind w:firstLine="480" w:firstLineChars="200"/>
        <w:jc w:val="left"/>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环境监理单位监督施工单位的各项环境污染风险防范措施落实情况是否符合要求；对环境风险防范设施和措施等实施监理，采集、留存影像资料；核实环境风险应急物资储备情况，并评价各项环境污染风险对策的执行情况。</w:t>
      </w:r>
    </w:p>
    <w:p>
      <w:pPr>
        <w:numPr>
          <w:ilvl w:val="0"/>
          <w:numId w:val="10"/>
        </w:numPr>
        <w:autoSpaceDE w:val="0"/>
        <w:autoSpaceDN w:val="0"/>
        <w:adjustRightInd w:val="0"/>
        <w:spacing w:line="360" w:lineRule="auto"/>
        <w:ind w:firstLine="480" w:firstLineChars="200"/>
        <w:jc w:val="left"/>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施工单位</w:t>
      </w:r>
      <w:r>
        <w:rPr>
          <w:rFonts w:hint="eastAsia" w:ascii="Times New Roman" w:hAnsi="Times New Roman" w:eastAsia="宋体" w:cs="Times New Roman"/>
          <w:color w:val="auto"/>
          <w:sz w:val="24"/>
          <w:szCs w:val="24"/>
        </w:rPr>
        <w:t>参照突发环境事件应急相关规定做好应急事项，当突发环境事件</w:t>
      </w:r>
      <w:r>
        <w:rPr>
          <w:rFonts w:ascii="Times New Roman" w:hAnsi="Times New Roman" w:eastAsia="宋体" w:cs="Times New Roman"/>
          <w:color w:val="auto"/>
          <w:sz w:val="24"/>
          <w:szCs w:val="24"/>
        </w:rPr>
        <w:t>时，立即</w:t>
      </w:r>
      <w:r>
        <w:rPr>
          <w:rFonts w:hint="eastAsia" w:ascii="Times New Roman" w:hAnsi="Times New Roman" w:eastAsia="宋体" w:cs="Times New Roman"/>
          <w:color w:val="auto"/>
          <w:sz w:val="24"/>
          <w:szCs w:val="24"/>
        </w:rPr>
        <w:t>停工并采取措施降低事件影响，同时填报</w:t>
      </w:r>
      <w:r>
        <w:rPr>
          <w:rFonts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rPr>
        <w:t>突发环境事件</w:t>
      </w:r>
      <w:r>
        <w:rPr>
          <w:rFonts w:ascii="Times New Roman" w:hAnsi="Times New Roman" w:eastAsia="宋体" w:cs="Times New Roman"/>
          <w:color w:val="auto"/>
          <w:kern w:val="10"/>
          <w:sz w:val="24"/>
          <w:szCs w:val="24"/>
        </w:rPr>
        <w:t>报告单</w:t>
      </w:r>
      <w:r>
        <w:rPr>
          <w:rFonts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详细记录</w:t>
      </w:r>
      <w:r>
        <w:rPr>
          <w:rFonts w:hint="eastAsia" w:ascii="Times New Roman" w:hAnsi="Times New Roman" w:eastAsia="宋体" w:cs="Times New Roman"/>
          <w:color w:val="auto"/>
          <w:sz w:val="24"/>
          <w:szCs w:val="24"/>
        </w:rPr>
        <w:t>事件</w:t>
      </w:r>
      <w:r>
        <w:rPr>
          <w:rFonts w:ascii="Times New Roman" w:hAnsi="Times New Roman" w:eastAsia="宋体" w:cs="Times New Roman"/>
          <w:color w:val="auto"/>
          <w:sz w:val="24"/>
          <w:szCs w:val="24"/>
        </w:rPr>
        <w:t>发生时间、地点、原因、污染源、主要污染物质、污染范围、人员伤亡情况以及报告联系人、联系方式等基本情况</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向</w:t>
      </w:r>
      <w:r>
        <w:rPr>
          <w:rFonts w:hint="eastAsia" w:ascii="Times New Roman" w:hAnsi="Times New Roman" w:eastAsia="宋体" w:cs="Times New Roman"/>
          <w:color w:val="auto"/>
          <w:sz w:val="24"/>
          <w:szCs w:val="24"/>
        </w:rPr>
        <w:t>土壤污染修复责任主体</w:t>
      </w:r>
      <w:r>
        <w:rPr>
          <w:rFonts w:ascii="Times New Roman" w:hAnsi="Times New Roman" w:eastAsia="宋体" w:cs="Times New Roman"/>
          <w:color w:val="auto"/>
          <w:sz w:val="24"/>
          <w:szCs w:val="24"/>
        </w:rPr>
        <w:t>、环境监理单位等相关单位报告，</w:t>
      </w:r>
      <w:r>
        <w:rPr>
          <w:rFonts w:hint="eastAsia" w:ascii="Times New Roman" w:hAnsi="Times New Roman" w:eastAsia="宋体" w:cs="Times New Roman"/>
          <w:color w:val="auto"/>
          <w:sz w:val="24"/>
          <w:szCs w:val="24"/>
        </w:rPr>
        <w:t>由土壤污染修复责任主体第一时间向所在地生态环境主管部门报告；</w:t>
      </w:r>
      <w:r>
        <w:rPr>
          <w:rFonts w:ascii="Times New Roman" w:hAnsi="Times New Roman" w:eastAsia="宋体" w:cs="Times New Roman"/>
          <w:color w:val="auto"/>
          <w:sz w:val="24"/>
          <w:szCs w:val="24"/>
        </w:rPr>
        <w:t>环境监理人员接到报告后迅速赶赴现场，督促施工单位采取相应措施</w:t>
      </w:r>
      <w:r>
        <w:rPr>
          <w:rFonts w:hint="eastAsia" w:ascii="Times New Roman" w:hAnsi="Times New Roman" w:eastAsia="宋体" w:cs="Times New Roman"/>
          <w:color w:val="auto"/>
          <w:sz w:val="24"/>
          <w:szCs w:val="24"/>
        </w:rPr>
        <w:t>消除或</w:t>
      </w:r>
      <w:r>
        <w:rPr>
          <w:rFonts w:ascii="Times New Roman" w:hAnsi="Times New Roman" w:eastAsia="宋体" w:cs="Times New Roman"/>
          <w:color w:val="auto"/>
          <w:sz w:val="24"/>
          <w:szCs w:val="24"/>
        </w:rPr>
        <w:t>降低</w:t>
      </w:r>
      <w:r>
        <w:rPr>
          <w:rFonts w:hint="eastAsia" w:ascii="Times New Roman" w:hAnsi="Times New Roman" w:eastAsia="宋体" w:cs="Times New Roman"/>
          <w:color w:val="auto"/>
          <w:sz w:val="24"/>
          <w:szCs w:val="24"/>
        </w:rPr>
        <w:t>事件</w:t>
      </w:r>
      <w:r>
        <w:rPr>
          <w:rFonts w:ascii="Times New Roman" w:hAnsi="Times New Roman" w:eastAsia="宋体" w:cs="Times New Roman"/>
          <w:color w:val="auto"/>
          <w:sz w:val="24"/>
          <w:szCs w:val="24"/>
        </w:rPr>
        <w:t>影响，</w:t>
      </w:r>
      <w:r>
        <w:rPr>
          <w:rFonts w:hint="eastAsia" w:ascii="Times New Roman" w:hAnsi="Times New Roman" w:eastAsia="宋体" w:cs="Times New Roman"/>
          <w:color w:val="auto"/>
          <w:sz w:val="24"/>
          <w:szCs w:val="24"/>
        </w:rPr>
        <w:t>事件处理完成后提交环境事件处理报告，</w:t>
      </w:r>
      <w:r>
        <w:rPr>
          <w:rFonts w:ascii="Times New Roman" w:hAnsi="Times New Roman" w:eastAsia="宋体" w:cs="Times New Roman"/>
          <w:color w:val="auto"/>
          <w:sz w:val="24"/>
          <w:szCs w:val="24"/>
        </w:rPr>
        <w:t>并由</w:t>
      </w:r>
      <w:r>
        <w:rPr>
          <w:rFonts w:hint="eastAsia" w:ascii="Times New Roman" w:hAnsi="Times New Roman" w:eastAsia="宋体" w:cs="Times New Roman"/>
          <w:color w:val="auto"/>
          <w:sz w:val="24"/>
          <w:szCs w:val="24"/>
        </w:rPr>
        <w:t>土壤污染修复责任主体</w:t>
      </w:r>
      <w:r>
        <w:rPr>
          <w:rFonts w:ascii="Times New Roman" w:hAnsi="Times New Roman" w:eastAsia="宋体" w:cs="Times New Roman"/>
          <w:color w:val="auto"/>
          <w:sz w:val="24"/>
          <w:szCs w:val="24"/>
        </w:rPr>
        <w:t>报生态环境等相关主管部门。</w:t>
      </w:r>
    </w:p>
    <w:p>
      <w:pPr>
        <w:numPr>
          <w:ilvl w:val="0"/>
          <w:numId w:val="10"/>
        </w:numPr>
        <w:autoSpaceDE w:val="0"/>
        <w:autoSpaceDN w:val="0"/>
        <w:adjustRightInd w:val="0"/>
        <w:spacing w:line="360" w:lineRule="auto"/>
        <w:ind w:firstLine="480" w:firstLineChars="200"/>
        <w:jc w:val="left"/>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突发环境污染事件的处理流程如图2。</w:t>
      </w:r>
    </w:p>
    <w:p>
      <w:pPr>
        <w:numPr>
          <w:ilvl w:val="0"/>
          <w:numId w:val="10"/>
        </w:numPr>
        <w:autoSpaceDE w:val="0"/>
        <w:autoSpaceDN w:val="0"/>
        <w:adjustRightInd w:val="0"/>
        <w:spacing w:line="360" w:lineRule="auto"/>
        <w:ind w:firstLine="480" w:firstLineChars="200"/>
        <w:jc w:val="left"/>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object>
          <v:shape id="_x0000_i1026" o:spt="75" type="#_x0000_t75" style="height:367.5pt;width:430.5pt;" o:ole="t" filled="f" o:preferrelative="t" stroked="f" coordsize="21600,21600">
            <v:path/>
            <v:fill on="f" focussize="0,0"/>
            <v:stroke on="f" joinstyle="miter"/>
            <v:imagedata r:id="rId19" o:title=""/>
            <o:lock v:ext="edit" aspectratio="f"/>
            <w10:wrap type="none"/>
            <w10:anchorlock/>
          </v:shape>
          <o:OLEObject Type="Embed" ProgID="Visio.Drawing.11" ShapeID="_x0000_i1026" DrawAspect="Content" ObjectID="_1468075726" r:id="rId18">
            <o:LockedField>false</o:LockedField>
          </o:OLEObject>
        </w:object>
      </w:r>
    </w:p>
    <w:p>
      <w:pPr>
        <w:ind w:left="424" w:leftChars="202"/>
        <w:rPr>
          <w:rFonts w:ascii="Times New Roman" w:hAnsi="Times New Roman" w:eastAsia="仿宋" w:cs="Times New Roman"/>
          <w:color w:val="auto"/>
          <w:szCs w:val="24"/>
        </w:rPr>
      </w:pPr>
    </w:p>
    <w:p>
      <w:pPr>
        <w:numPr>
          <w:ilvl w:val="0"/>
          <w:numId w:val="10"/>
        </w:numPr>
        <w:autoSpaceDE w:val="0"/>
        <w:autoSpaceDN w:val="0"/>
        <w:adjustRightInd w:val="0"/>
        <w:spacing w:line="360" w:lineRule="auto"/>
        <w:jc w:val="center"/>
        <w:rPr>
          <w:rFonts w:ascii="Times New Roman" w:hAnsi="Times New Roman" w:cs="Times New Roman"/>
          <w:color w:val="auto"/>
          <w:sz w:val="24"/>
          <w:szCs w:val="24"/>
        </w:rPr>
      </w:pPr>
      <w:r>
        <w:rPr>
          <w:rFonts w:ascii="Times New Roman" w:hAnsi="Times New Roman" w:eastAsia="等线" w:cs="Times New Roman"/>
          <w:b/>
          <w:color w:val="auto"/>
          <w:sz w:val="24"/>
          <w:szCs w:val="24"/>
        </w:rPr>
        <w:t>图2 土壤污染修复工程突发环境事</w:t>
      </w:r>
      <w:r>
        <w:rPr>
          <w:rFonts w:hint="eastAsia" w:ascii="Times New Roman" w:hAnsi="Times New Roman" w:eastAsia="等线" w:cs="Times New Roman"/>
          <w:b/>
          <w:color w:val="auto"/>
          <w:sz w:val="24"/>
          <w:szCs w:val="24"/>
        </w:rPr>
        <w:t>件</w:t>
      </w:r>
      <w:r>
        <w:rPr>
          <w:rFonts w:ascii="Times New Roman" w:hAnsi="Times New Roman" w:eastAsia="等线" w:cs="Times New Roman"/>
          <w:b/>
          <w:color w:val="auto"/>
          <w:sz w:val="24"/>
          <w:szCs w:val="24"/>
        </w:rPr>
        <w:t>处理流程图</w:t>
      </w:r>
    </w:p>
    <w:p>
      <w:pPr>
        <w:rPr>
          <w:rFonts w:ascii="Times New Roman" w:hAnsi="Times New Roman" w:eastAsia="宋体" w:cs="Times New Roman"/>
          <w:color w:val="auto"/>
          <w:kern w:val="0"/>
          <w:szCs w:val="21"/>
        </w:rPr>
        <w:sectPr>
          <w:footerReference r:id="rId7" w:type="default"/>
          <w:pgSz w:w="11906" w:h="16838"/>
          <w:pgMar w:top="1440" w:right="1440" w:bottom="1440" w:left="1440" w:header="851" w:footer="992" w:gutter="0"/>
          <w:cols w:space="720" w:num="1"/>
        </w:sectPr>
      </w:pPr>
    </w:p>
    <w:p>
      <w:pPr>
        <w:pStyle w:val="58"/>
        <w:numPr>
          <w:ilvl w:val="3"/>
          <w:numId w:val="9"/>
        </w:numPr>
        <w:spacing w:before="120" w:after="120" w:line="360" w:lineRule="auto"/>
        <w:rPr>
          <w:rFonts w:ascii="Times New Roman" w:hAnsi="Times New Roman" w:cs="Times New Roman"/>
          <w:color w:val="auto"/>
          <w:kern w:val="10"/>
          <w:sz w:val="24"/>
          <w:szCs w:val="24"/>
          <w:shd w:val="clear" w:color="auto" w:fill="FFFFFF"/>
        </w:rPr>
      </w:pPr>
      <w:r>
        <w:rPr>
          <w:rFonts w:ascii="Times New Roman" w:hAnsi="Times New Roman" w:cs="Times New Roman"/>
          <w:color w:val="auto"/>
          <w:kern w:val="10"/>
          <w:sz w:val="24"/>
          <w:szCs w:val="24"/>
          <w:shd w:val="clear" w:color="auto" w:fill="FFFFFF"/>
        </w:rPr>
        <w:t>与环境保护相关变更的环境监理</w:t>
      </w:r>
    </w:p>
    <w:p>
      <w:pPr>
        <w:numPr>
          <w:ilvl w:val="0"/>
          <w:numId w:val="10"/>
        </w:numPr>
        <w:autoSpaceDE w:val="0"/>
        <w:autoSpaceDN w:val="0"/>
        <w:adjustRightInd w:val="0"/>
        <w:spacing w:line="360" w:lineRule="auto"/>
        <w:ind w:firstLine="480" w:firstLineChars="200"/>
        <w:jc w:val="left"/>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若环境监理单位在监督和核查中发现土壤污染修复工程的项目规模、修复工程工艺及设备、配套建设的环境污染防治设施、环境污染风险防范设施、</w:t>
      </w:r>
      <w:r>
        <w:rPr>
          <w:rFonts w:hint="eastAsia" w:ascii="Times New Roman" w:hAnsi="Times New Roman" w:eastAsia="宋体" w:cs="Times New Roman"/>
          <w:color w:val="auto"/>
          <w:sz w:val="24"/>
          <w:szCs w:val="24"/>
        </w:rPr>
        <w:t>突发环境事件</w:t>
      </w:r>
      <w:r>
        <w:rPr>
          <w:rFonts w:ascii="Times New Roman" w:hAnsi="Times New Roman" w:eastAsia="宋体" w:cs="Times New Roman"/>
          <w:color w:val="auto"/>
          <w:sz w:val="24"/>
          <w:szCs w:val="24"/>
        </w:rPr>
        <w:t>应急设施等与修复方案严重不符，存在较大二次污染隐患时，环境监理单位向施工单位及</w:t>
      </w:r>
      <w:r>
        <w:rPr>
          <w:rFonts w:hint="eastAsia" w:ascii="Times New Roman" w:hAnsi="Times New Roman" w:eastAsia="宋体" w:cs="Times New Roman"/>
          <w:color w:val="auto"/>
          <w:sz w:val="24"/>
          <w:szCs w:val="24"/>
        </w:rPr>
        <w:t>土壤污染修复责任主体</w:t>
      </w:r>
      <w:r>
        <w:rPr>
          <w:rFonts w:ascii="Times New Roman" w:hAnsi="Times New Roman" w:eastAsia="宋体" w:cs="Times New Roman"/>
          <w:color w:val="auto"/>
          <w:sz w:val="24"/>
          <w:szCs w:val="24"/>
        </w:rPr>
        <w:t>递交《环境监理工作联系单》，必要时向施工单位下达《整改通知单》或《停工通知单》，责令整改。在收到施工单位的复工申请后，环境监理单位检查整改完成情况，确</w:t>
      </w:r>
      <w:r>
        <w:rPr>
          <w:rFonts w:hint="eastAsia" w:ascii="Times New Roman" w:hAnsi="Times New Roman" w:eastAsia="宋体" w:cs="Times New Roman"/>
          <w:color w:val="auto"/>
          <w:sz w:val="24"/>
          <w:szCs w:val="24"/>
        </w:rPr>
        <w:t>认</w:t>
      </w:r>
      <w:r>
        <w:rPr>
          <w:rFonts w:ascii="Times New Roman" w:hAnsi="Times New Roman" w:eastAsia="宋体" w:cs="Times New Roman"/>
          <w:color w:val="auto"/>
          <w:sz w:val="24"/>
          <w:szCs w:val="24"/>
        </w:rPr>
        <w:t>具备复工条件后，签发《复工指令单》，明确施工单位的复工范围并监督执行。</w:t>
      </w:r>
    </w:p>
    <w:p>
      <w:pPr>
        <w:numPr>
          <w:ilvl w:val="0"/>
          <w:numId w:val="10"/>
        </w:numPr>
        <w:autoSpaceDE w:val="0"/>
        <w:autoSpaceDN w:val="0"/>
        <w:adjustRightInd w:val="0"/>
        <w:spacing w:line="360" w:lineRule="auto"/>
        <w:ind w:firstLine="480" w:firstLineChars="200"/>
        <w:jc w:val="left"/>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对于工程可能发生涉及环境保护设施、污染防治措施的变更，施工单位及时向环境监理单位提出变更申请，由环境监理单位出具书面意见，报请</w:t>
      </w:r>
      <w:r>
        <w:rPr>
          <w:rFonts w:hint="eastAsia" w:ascii="Times New Roman" w:hAnsi="Times New Roman" w:eastAsia="宋体" w:cs="Times New Roman"/>
          <w:color w:val="auto"/>
          <w:sz w:val="24"/>
          <w:szCs w:val="24"/>
        </w:rPr>
        <w:t>土壤污染修复责任主体</w:t>
      </w:r>
      <w:r>
        <w:rPr>
          <w:rFonts w:ascii="Times New Roman" w:hAnsi="Times New Roman" w:eastAsia="宋体" w:cs="Times New Roman"/>
          <w:color w:val="auto"/>
          <w:sz w:val="24"/>
          <w:szCs w:val="24"/>
        </w:rPr>
        <w:t>批准，必要时可由</w:t>
      </w:r>
      <w:r>
        <w:rPr>
          <w:rFonts w:hint="eastAsia" w:ascii="Times New Roman" w:hAnsi="Times New Roman" w:eastAsia="宋体" w:cs="Times New Roman"/>
          <w:color w:val="auto"/>
          <w:sz w:val="24"/>
          <w:szCs w:val="24"/>
        </w:rPr>
        <w:t>土壤污染修复责任主体</w:t>
      </w:r>
      <w:r>
        <w:rPr>
          <w:rFonts w:ascii="Times New Roman" w:hAnsi="Times New Roman" w:eastAsia="宋体" w:cs="Times New Roman"/>
          <w:color w:val="auto"/>
          <w:sz w:val="24"/>
          <w:szCs w:val="24"/>
        </w:rPr>
        <w:t>组织相关论证。</w:t>
      </w:r>
      <w:r>
        <w:rPr>
          <w:rFonts w:hint="eastAsia" w:ascii="Times New Roman" w:hAnsi="Times New Roman" w:eastAsia="宋体" w:cs="Times New Roman"/>
          <w:color w:val="auto"/>
          <w:sz w:val="24"/>
          <w:szCs w:val="24"/>
        </w:rPr>
        <w:t>涉及重大变更的，按地方生态环境主管部门要求进行变更申请，完善变更手续，并报相关部门备案。</w:t>
      </w:r>
    </w:p>
    <w:p>
      <w:pPr>
        <w:numPr>
          <w:ilvl w:val="0"/>
          <w:numId w:val="10"/>
        </w:numPr>
        <w:autoSpaceDE w:val="0"/>
        <w:autoSpaceDN w:val="0"/>
        <w:adjustRightInd w:val="0"/>
        <w:spacing w:line="360" w:lineRule="auto"/>
        <w:ind w:firstLine="480" w:firstLineChars="200"/>
        <w:jc w:val="left"/>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发生涉及环境保护设施、污染防治措施的工程变更的处理流程如图3。</w:t>
      </w:r>
    </w:p>
    <w:p>
      <w:pPr>
        <w:rPr>
          <w:rFonts w:ascii="Times New Roman" w:hAnsi="Times New Roman" w:eastAsia="宋体" w:cs="Times New Roman"/>
          <w:color w:val="auto"/>
          <w:kern w:val="0"/>
          <w:szCs w:val="21"/>
        </w:rPr>
      </w:pPr>
    </w:p>
    <w:p>
      <w:pPr>
        <w:ind w:leftChars="-95" w:hanging="199" w:hangingChars="95"/>
        <w:jc w:val="center"/>
        <w:rPr>
          <w:rFonts w:ascii="Times New Roman" w:hAnsi="Times New Roman" w:cs="Times New Roman"/>
          <w:color w:val="auto"/>
        </w:rPr>
      </w:pPr>
      <w:r>
        <w:rPr>
          <w:rFonts w:ascii="Times New Roman" w:hAnsi="Times New Roman" w:cs="Times New Roman"/>
          <w:color w:val="auto"/>
        </w:rPr>
        <w:object>
          <v:shape id="_x0000_i1027" o:spt="75" type="#_x0000_t75" style="height:397.5pt;width:385pt;" o:ole="t" filled="f" o:preferrelative="t" stroked="f" coordsize="21600,21600">
            <v:path/>
            <v:fill on="f" focussize="0,0"/>
            <v:stroke on="f" joinstyle="miter"/>
            <v:imagedata r:id="rId21" o:title=""/>
            <o:lock v:ext="edit" aspectratio="t"/>
            <w10:wrap type="none"/>
            <w10:anchorlock/>
          </v:shape>
          <o:OLEObject Type="Embed" ProgID="Visio.Drawing.11" ShapeID="_x0000_i1027" DrawAspect="Content" ObjectID="_1468075727" r:id="rId20">
            <o:LockedField>false</o:LockedField>
          </o:OLEObject>
        </w:object>
      </w:r>
    </w:p>
    <w:p>
      <w:pPr>
        <w:numPr>
          <w:ilvl w:val="0"/>
          <w:numId w:val="10"/>
        </w:numPr>
        <w:autoSpaceDE w:val="0"/>
        <w:autoSpaceDN w:val="0"/>
        <w:adjustRightInd w:val="0"/>
        <w:spacing w:line="360" w:lineRule="auto"/>
        <w:jc w:val="center"/>
        <w:rPr>
          <w:rFonts w:ascii="Times New Roman" w:hAnsi="Times New Roman" w:cs="Times New Roman"/>
          <w:color w:val="auto"/>
          <w:sz w:val="24"/>
          <w:szCs w:val="24"/>
        </w:rPr>
      </w:pPr>
      <w:r>
        <w:rPr>
          <w:rFonts w:ascii="Times New Roman" w:hAnsi="Times New Roman" w:eastAsia="等线" w:cs="Times New Roman"/>
          <w:b/>
          <w:color w:val="auto"/>
          <w:sz w:val="24"/>
          <w:szCs w:val="24"/>
        </w:rPr>
        <w:t>图 3 土壤污染修复工程变更处理流程图</w:t>
      </w:r>
    </w:p>
    <w:p>
      <w:pPr>
        <w:rPr>
          <w:rFonts w:ascii="Times New Roman" w:hAnsi="Times New Roman" w:eastAsia="宋体" w:cs="Times New Roman"/>
          <w:color w:val="auto"/>
          <w:kern w:val="0"/>
          <w:szCs w:val="21"/>
        </w:rPr>
        <w:sectPr>
          <w:footerReference r:id="rId8" w:type="default"/>
          <w:pgSz w:w="11906" w:h="16838"/>
          <w:pgMar w:top="1440" w:right="1440" w:bottom="1440" w:left="1440" w:header="851" w:footer="992" w:gutter="0"/>
          <w:cols w:space="720" w:num="1"/>
        </w:sectPr>
      </w:pPr>
    </w:p>
    <w:p>
      <w:pPr>
        <w:pStyle w:val="58"/>
        <w:numPr>
          <w:ilvl w:val="2"/>
          <w:numId w:val="9"/>
        </w:numPr>
        <w:spacing w:line="360" w:lineRule="auto"/>
        <w:ind w:left="0"/>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环境问题的处理处置</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szCs w:val="24"/>
        </w:rPr>
      </w:pPr>
      <w:r>
        <w:rPr>
          <w:rFonts w:ascii="Times New Roman" w:hAnsi="Times New Roman" w:cs="Times New Roman"/>
          <w:color w:val="auto"/>
          <w:sz w:val="24"/>
          <w:szCs w:val="24"/>
        </w:rPr>
        <w:t>环境监理单位在工程实施现场检查过程中发现的问题，下发环境监理工作联系单、整改通知单或停工通知单等，通知施工单位立刻采取纠正或处理措施，并抄送</w:t>
      </w:r>
      <w:r>
        <w:rPr>
          <w:rFonts w:hint="eastAsia" w:ascii="Times New Roman" w:hAnsi="Times New Roman" w:cs="Times New Roman"/>
          <w:color w:val="auto"/>
          <w:sz w:val="24"/>
          <w:szCs w:val="24"/>
        </w:rPr>
        <w:t>土壤污染修复责任主体</w:t>
      </w:r>
      <w:r>
        <w:rPr>
          <w:rFonts w:ascii="Times New Roman" w:hAnsi="Times New Roman" w:cs="Times New Roman"/>
          <w:color w:val="auto"/>
          <w:sz w:val="24"/>
          <w:szCs w:val="24"/>
        </w:rPr>
        <w:t>，督促施工单位进行整改。土壤污染修复工程现场整改处理流程见图4；土壤污染修复工程停工及复工处理流程见图5。</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szCs w:val="24"/>
        </w:rPr>
      </w:pPr>
    </w:p>
    <w:p>
      <w:pPr>
        <w:ind w:firstLine="850" w:firstLineChars="405"/>
        <w:jc w:val="center"/>
        <w:rPr>
          <w:rFonts w:ascii="Times New Roman" w:hAnsi="Times New Roman" w:eastAsia="宋体" w:cs="Times New Roman"/>
          <w:color w:val="auto"/>
          <w:kern w:val="0"/>
          <w:szCs w:val="21"/>
        </w:rPr>
      </w:pPr>
      <w:r>
        <w:rPr>
          <w:rFonts w:ascii="Times New Roman" w:hAnsi="Times New Roman" w:cs="Times New Roman"/>
          <w:color w:val="auto"/>
        </w:rPr>
        <w:object>
          <v:shape id="_x0000_i1028" o:spt="75" type="#_x0000_t75" style="height:327pt;width:382pt;" o:ole="t" filled="f" o:preferrelative="t" stroked="f" coordsize="21600,21600">
            <v:path/>
            <v:fill on="f" focussize="0,0"/>
            <v:stroke on="f" joinstyle="miter"/>
            <v:imagedata r:id="rId23" o:title=""/>
            <o:lock v:ext="edit" aspectratio="t"/>
            <w10:wrap type="none"/>
            <w10:anchorlock/>
          </v:shape>
          <o:OLEObject Type="Embed" ProgID="Visio.Drawing.11" ShapeID="_x0000_i1028" DrawAspect="Content" ObjectID="_1468075728" r:id="rId22">
            <o:LockedField>false</o:LockedField>
          </o:OLEObject>
        </w:object>
      </w:r>
    </w:p>
    <w:p>
      <w:pPr>
        <w:numPr>
          <w:ilvl w:val="0"/>
          <w:numId w:val="10"/>
        </w:numPr>
        <w:autoSpaceDE w:val="0"/>
        <w:autoSpaceDN w:val="0"/>
        <w:adjustRightInd w:val="0"/>
        <w:spacing w:line="360" w:lineRule="auto"/>
        <w:jc w:val="center"/>
        <w:rPr>
          <w:rFonts w:ascii="Times New Roman" w:hAnsi="Times New Roman" w:eastAsia="宋体" w:cs="Times New Roman"/>
          <w:color w:val="auto"/>
          <w:szCs w:val="21"/>
        </w:rPr>
      </w:pPr>
      <w:r>
        <w:rPr>
          <w:rFonts w:ascii="Times New Roman" w:hAnsi="Times New Roman" w:eastAsia="等线" w:cs="Times New Roman"/>
          <w:b/>
          <w:color w:val="auto"/>
          <w:sz w:val="24"/>
          <w:szCs w:val="24"/>
        </w:rPr>
        <w:t>图 4 土壤污染修复工程现场整改处理流程图</w:t>
      </w:r>
    </w:p>
    <w:p>
      <w:pPr>
        <w:rPr>
          <w:rFonts w:ascii="Times New Roman" w:hAnsi="Times New Roman" w:eastAsia="宋体" w:cs="Times New Roman"/>
          <w:color w:val="auto"/>
          <w:szCs w:val="21"/>
        </w:rPr>
        <w:sectPr>
          <w:footerReference r:id="rId9" w:type="default"/>
          <w:pgSz w:w="11906" w:h="16838"/>
          <w:pgMar w:top="1440" w:right="1440" w:bottom="1440" w:left="1440" w:header="851" w:footer="992" w:gutter="0"/>
          <w:cols w:space="720" w:num="1"/>
        </w:sectPr>
      </w:pPr>
    </w:p>
    <w:p>
      <w:pPr>
        <w:ind w:firstLine="707" w:firstLineChars="337"/>
        <w:jc w:val="left"/>
        <w:rPr>
          <w:rFonts w:ascii="Times New Roman" w:hAnsi="Times New Roman" w:cs="Times New Roman"/>
          <w:color w:val="auto"/>
        </w:rPr>
      </w:pPr>
      <w:r>
        <w:rPr>
          <w:rFonts w:ascii="Times New Roman" w:hAnsi="Times New Roman" w:cs="Times New Roman"/>
          <w:color w:val="auto"/>
        </w:rPr>
        <w:object>
          <v:shape id="_x0000_i1029" o:spt="75" type="#_x0000_t75" style="height:364.5pt;width:245.5pt;" o:ole="t" filled="f" o:preferrelative="t" stroked="f" coordsize="21600,21600">
            <v:path/>
            <v:fill on="f" focussize="0,0"/>
            <v:stroke on="f" joinstyle="miter"/>
            <v:imagedata r:id="rId25" o:title=""/>
            <o:lock v:ext="edit" aspectratio="t"/>
            <w10:wrap type="none"/>
            <w10:anchorlock/>
          </v:shape>
          <o:OLEObject Type="Embed" ProgID="Visio.Drawing.11" ShapeID="_x0000_i1029" DrawAspect="Content" ObjectID="_1468075729" r:id="rId24">
            <o:LockedField>false</o:LockedField>
          </o:OLEObject>
        </w:object>
      </w:r>
    </w:p>
    <w:p>
      <w:pPr>
        <w:jc w:val="center"/>
        <w:rPr>
          <w:rFonts w:ascii="Times New Roman" w:hAnsi="Times New Roman" w:cs="Times New Roman"/>
          <w:color w:val="auto"/>
        </w:rPr>
      </w:pPr>
    </w:p>
    <w:p>
      <w:pPr>
        <w:numPr>
          <w:ilvl w:val="0"/>
          <w:numId w:val="10"/>
        </w:numPr>
        <w:autoSpaceDE w:val="0"/>
        <w:autoSpaceDN w:val="0"/>
        <w:adjustRightInd w:val="0"/>
        <w:spacing w:line="360" w:lineRule="auto"/>
        <w:jc w:val="center"/>
        <w:rPr>
          <w:rFonts w:ascii="Times New Roman" w:hAnsi="Times New Roman" w:eastAsia="等线" w:cs="Times New Roman"/>
          <w:b/>
          <w:color w:val="auto"/>
          <w:sz w:val="24"/>
          <w:szCs w:val="24"/>
        </w:rPr>
      </w:pPr>
      <w:r>
        <w:rPr>
          <w:rFonts w:ascii="Times New Roman" w:hAnsi="Times New Roman" w:eastAsia="等线" w:cs="Times New Roman"/>
          <w:b/>
          <w:color w:val="auto"/>
          <w:sz w:val="24"/>
          <w:szCs w:val="24"/>
        </w:rPr>
        <w:t>图 5　土壤污染修复工程停工及复工处理流程图</w:t>
      </w:r>
    </w:p>
    <w:p>
      <w:pPr>
        <w:autoSpaceDE w:val="0"/>
        <w:autoSpaceDN w:val="0"/>
        <w:adjustRightInd w:val="0"/>
        <w:spacing w:line="360" w:lineRule="auto"/>
        <w:jc w:val="left"/>
        <w:rPr>
          <w:rFonts w:ascii="Times New Roman" w:hAnsi="Times New Roman" w:cs="Times New Roman"/>
          <w:color w:val="auto"/>
          <w:sz w:val="24"/>
          <w:szCs w:val="24"/>
        </w:rPr>
      </w:pPr>
    </w:p>
    <w:p>
      <w:pPr>
        <w:pStyle w:val="58"/>
        <w:numPr>
          <w:ilvl w:val="2"/>
          <w:numId w:val="9"/>
        </w:numPr>
        <w:spacing w:line="360" w:lineRule="auto"/>
        <w:ind w:left="0"/>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编制环境监理总结报告</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szCs w:val="24"/>
        </w:rPr>
      </w:pPr>
      <w:bookmarkStart w:id="108" w:name="_Hlk503436256"/>
      <w:r>
        <w:rPr>
          <w:rFonts w:ascii="Times New Roman" w:hAnsi="Times New Roman" w:cs="Times New Roman"/>
          <w:color w:val="auto"/>
          <w:sz w:val="24"/>
          <w:szCs w:val="24"/>
        </w:rPr>
        <w:t>当土壤污染修复工程完成后，环境监理单位就环境监理工作的开展情况及时进行总结，并编制环境监理总结报告。环境监理总结报告附从业人员责任页，明确项目负责人、各分项工作承担者；环境监理从业单位建立内部审核制度，明确报告的审核、审定人员，签字后报告加盖</w:t>
      </w:r>
      <w:r>
        <w:rPr>
          <w:rFonts w:hint="eastAsia" w:ascii="Times New Roman" w:hAnsi="Times New Roman" w:cs="Times New Roman"/>
          <w:color w:val="auto"/>
          <w:sz w:val="24"/>
          <w:szCs w:val="24"/>
        </w:rPr>
        <w:t>土壤污染修复责任主体</w:t>
      </w:r>
      <w:r>
        <w:rPr>
          <w:rFonts w:ascii="Times New Roman" w:hAnsi="Times New Roman" w:cs="Times New Roman"/>
          <w:color w:val="auto"/>
          <w:sz w:val="24"/>
          <w:szCs w:val="24"/>
        </w:rPr>
        <w:t>和报告编制单位的公章。</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szCs w:val="24"/>
        </w:rPr>
      </w:pPr>
      <w:r>
        <w:rPr>
          <w:rFonts w:ascii="Times New Roman" w:hAnsi="Times New Roman" w:cs="Times New Roman"/>
          <w:color w:val="auto"/>
          <w:sz w:val="24"/>
          <w:szCs w:val="24"/>
        </w:rPr>
        <w:t>环境监理总结报告大纲可参照附4。</w:t>
      </w:r>
    </w:p>
    <w:bookmarkEnd w:id="108"/>
    <w:p>
      <w:pPr>
        <w:pStyle w:val="58"/>
        <w:numPr>
          <w:ilvl w:val="2"/>
          <w:numId w:val="9"/>
        </w:numPr>
        <w:spacing w:line="360" w:lineRule="auto"/>
        <w:ind w:left="0"/>
        <w:rPr>
          <w:rFonts w:ascii="Times New Roman" w:hAnsi="Times New Roman" w:cs="Times New Roman"/>
          <w:color w:val="auto"/>
          <w:sz w:val="24"/>
          <w:szCs w:val="24"/>
          <w:shd w:val="clear" w:color="auto" w:fill="FFFFFF"/>
        </w:rPr>
      </w:pPr>
      <w:r>
        <w:rPr>
          <w:rFonts w:ascii="Times New Roman" w:hAnsi="Times New Roman" w:cs="Times New Roman"/>
          <w:color w:val="auto"/>
          <w:sz w:val="24"/>
          <w:szCs w:val="24"/>
          <w:shd w:val="clear" w:color="auto" w:fill="FFFFFF"/>
        </w:rPr>
        <w:t>参加土壤污染修复效果评估工作</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szCs w:val="24"/>
        </w:rPr>
      </w:pPr>
      <w:r>
        <w:rPr>
          <w:rFonts w:ascii="Times New Roman" w:hAnsi="Times New Roman" w:cs="Times New Roman"/>
          <w:color w:val="auto"/>
          <w:sz w:val="24"/>
          <w:szCs w:val="24"/>
        </w:rPr>
        <w:t>环境监理单位协助</w:t>
      </w:r>
      <w:r>
        <w:rPr>
          <w:rFonts w:hint="eastAsia" w:ascii="Times New Roman" w:hAnsi="Times New Roman" w:cs="Times New Roman"/>
          <w:color w:val="auto"/>
          <w:sz w:val="24"/>
          <w:szCs w:val="24"/>
        </w:rPr>
        <w:t>土壤污染修复责任主体</w:t>
      </w:r>
      <w:r>
        <w:rPr>
          <w:rFonts w:ascii="Times New Roman" w:hAnsi="Times New Roman" w:cs="Times New Roman"/>
          <w:color w:val="auto"/>
          <w:sz w:val="24"/>
          <w:szCs w:val="24"/>
        </w:rPr>
        <w:t>进行</w:t>
      </w:r>
      <w:r>
        <w:rPr>
          <w:rFonts w:hint="eastAsia" w:ascii="Times New Roman" w:hAnsi="Times New Roman" w:cs="Times New Roman"/>
          <w:color w:val="auto"/>
          <w:sz w:val="24"/>
          <w:szCs w:val="24"/>
        </w:rPr>
        <w:t>土壤</w:t>
      </w:r>
      <w:r>
        <w:rPr>
          <w:rFonts w:ascii="Times New Roman" w:hAnsi="Times New Roman" w:cs="Times New Roman"/>
          <w:color w:val="auto"/>
          <w:sz w:val="24"/>
          <w:szCs w:val="24"/>
        </w:rPr>
        <w:t>污染修复效果评估工作，提供环境监理总结报告（含环境监测报告）、环境监理日志、会议纪要、隐蔽性工程环境监理过程的影像资料等相关档案文件。环境监理单位配合土壤污染修复效果评估单位做好相关工作</w:t>
      </w:r>
      <w:r>
        <w:rPr>
          <w:rFonts w:hint="eastAsia" w:ascii="Times New Roman" w:hAnsi="Times New Roman" w:cs="Times New Roman"/>
          <w:color w:val="auto"/>
          <w:sz w:val="24"/>
          <w:szCs w:val="24"/>
        </w:rPr>
        <w:t>，如配合土壤污染修复效果评估单位开展现场采样工作，进行旁站记录，参加土壤污染修复效果评估有关会议</w:t>
      </w:r>
      <w:r>
        <w:rPr>
          <w:rFonts w:ascii="Times New Roman" w:hAnsi="Times New Roman" w:cs="Times New Roman"/>
          <w:color w:val="auto"/>
          <w:sz w:val="24"/>
          <w:szCs w:val="24"/>
        </w:rPr>
        <w:t>。</w:t>
      </w:r>
    </w:p>
    <w:p>
      <w:pPr>
        <w:pStyle w:val="2"/>
        <w:keepLines w:val="0"/>
        <w:numPr>
          <w:ilvl w:val="1"/>
          <w:numId w:val="9"/>
        </w:numPr>
        <w:snapToGrid w:val="0"/>
        <w:spacing w:before="312" w:beforeLines="100" w:after="312" w:afterLines="100" w:line="360" w:lineRule="auto"/>
        <w:ind w:right="210" w:rightChars="100"/>
        <w:rPr>
          <w:rFonts w:eastAsia="黑体"/>
          <w:b w:val="0"/>
          <w:bCs w:val="0"/>
          <w:color w:val="auto"/>
          <w:kern w:val="10"/>
          <w:sz w:val="24"/>
          <w:szCs w:val="24"/>
        </w:rPr>
      </w:pPr>
      <w:bookmarkStart w:id="109" w:name="_Toc410"/>
      <w:r>
        <w:rPr>
          <w:rFonts w:eastAsia="黑体"/>
          <w:b w:val="0"/>
          <w:bCs w:val="0"/>
          <w:color w:val="auto"/>
          <w:kern w:val="10"/>
          <w:sz w:val="24"/>
          <w:szCs w:val="24"/>
        </w:rPr>
        <w:t>档案管理</w:t>
      </w:r>
      <w:bookmarkEnd w:id="109"/>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szCs w:val="24"/>
        </w:rPr>
      </w:pPr>
      <w:r>
        <w:rPr>
          <w:rFonts w:ascii="Times New Roman" w:hAnsi="Times New Roman" w:cs="Times New Roman"/>
          <w:color w:val="auto"/>
          <w:sz w:val="24"/>
          <w:szCs w:val="24"/>
        </w:rPr>
        <w:t>环境监理单位按有关规定及环境监理合同约定，督促施工单位完成</w:t>
      </w:r>
      <w:r>
        <w:rPr>
          <w:rFonts w:hint="eastAsia" w:ascii="Times New Roman" w:hAnsi="Times New Roman" w:cs="Times New Roman"/>
          <w:color w:val="auto"/>
          <w:sz w:val="24"/>
          <w:szCs w:val="24"/>
        </w:rPr>
        <w:t>修复</w:t>
      </w:r>
      <w:r>
        <w:rPr>
          <w:rFonts w:ascii="Times New Roman" w:hAnsi="Times New Roman" w:cs="Times New Roman"/>
          <w:color w:val="auto"/>
          <w:sz w:val="24"/>
          <w:szCs w:val="24"/>
        </w:rPr>
        <w:t>工程相关档案管理工作，同时做好环境监理档案管理工作。在环境监理服务期满后，环境监理单位负责环境监理资料的整编和归档，并移交</w:t>
      </w:r>
      <w:r>
        <w:rPr>
          <w:rFonts w:hint="eastAsia" w:ascii="Times New Roman" w:hAnsi="Times New Roman" w:cs="Times New Roman"/>
          <w:color w:val="auto"/>
          <w:sz w:val="24"/>
          <w:szCs w:val="24"/>
        </w:rPr>
        <w:t>土壤污染修复责任主体</w:t>
      </w:r>
      <w:r>
        <w:rPr>
          <w:rFonts w:ascii="Times New Roman" w:hAnsi="Times New Roman" w:cs="Times New Roman"/>
          <w:color w:val="auto"/>
          <w:sz w:val="24"/>
          <w:szCs w:val="24"/>
        </w:rPr>
        <w:t>。</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szCs w:val="24"/>
        </w:rPr>
      </w:pPr>
      <w:r>
        <w:rPr>
          <w:rFonts w:ascii="Times New Roman" w:hAnsi="Times New Roman" w:cs="Times New Roman"/>
          <w:color w:val="auto"/>
          <w:sz w:val="24"/>
          <w:szCs w:val="24"/>
        </w:rPr>
        <w:t>环境监理工作</w:t>
      </w:r>
      <w:r>
        <w:rPr>
          <w:rFonts w:ascii="Times New Roman" w:hAnsi="Times New Roman" w:cs="Times New Roman"/>
          <w:color w:val="auto"/>
          <w:sz w:val="24"/>
          <w:szCs w:val="24"/>
          <w:shd w:val="clear" w:color="auto" w:fill="FFFFFF"/>
        </w:rPr>
        <w:t>归档资料范围</w:t>
      </w:r>
      <w:r>
        <w:rPr>
          <w:rFonts w:ascii="Times New Roman" w:hAnsi="Times New Roman" w:cs="Times New Roman"/>
          <w:color w:val="auto"/>
          <w:sz w:val="24"/>
          <w:szCs w:val="24"/>
        </w:rPr>
        <w:t>包括</w:t>
      </w:r>
      <w:r>
        <w:rPr>
          <w:rFonts w:hint="eastAsia" w:ascii="Times New Roman" w:hAnsi="Times New Roman" w:cs="Times New Roman"/>
          <w:color w:val="auto"/>
          <w:sz w:val="24"/>
          <w:szCs w:val="24"/>
        </w:rPr>
        <w:t>但不限于</w:t>
      </w:r>
      <w:r>
        <w:rPr>
          <w:rFonts w:ascii="Times New Roman" w:hAnsi="Times New Roman" w:cs="Times New Roman"/>
          <w:color w:val="auto"/>
          <w:sz w:val="24"/>
          <w:szCs w:val="24"/>
        </w:rPr>
        <w:t>以下内容：环境监理合同及其他相关合同文件</w:t>
      </w:r>
      <w:r>
        <w:rPr>
          <w:rFonts w:hint="eastAsia" w:ascii="Times New Roman" w:hAnsi="Times New Roman" w:cs="Times New Roman"/>
          <w:color w:val="auto"/>
          <w:sz w:val="24"/>
          <w:szCs w:val="24"/>
        </w:rPr>
        <w:t>、</w:t>
      </w:r>
      <w:r>
        <w:rPr>
          <w:rFonts w:ascii="Times New Roman" w:hAnsi="Times New Roman" w:cs="Times New Roman"/>
          <w:color w:val="auto"/>
          <w:sz w:val="24"/>
          <w:szCs w:val="24"/>
        </w:rPr>
        <w:t>环境监理方案</w:t>
      </w:r>
      <w:r>
        <w:rPr>
          <w:rFonts w:hint="eastAsia" w:ascii="Times New Roman" w:hAnsi="Times New Roman" w:cs="Times New Roman"/>
          <w:color w:val="auto"/>
          <w:sz w:val="24"/>
          <w:szCs w:val="24"/>
        </w:rPr>
        <w:t>、</w:t>
      </w:r>
      <w:r>
        <w:rPr>
          <w:rFonts w:ascii="Times New Roman" w:hAnsi="Times New Roman" w:cs="Times New Roman"/>
          <w:color w:val="auto"/>
          <w:sz w:val="24"/>
          <w:szCs w:val="24"/>
        </w:rPr>
        <w:t>环境监理会议纪要</w:t>
      </w:r>
      <w:r>
        <w:rPr>
          <w:rFonts w:hint="eastAsia" w:ascii="Times New Roman" w:hAnsi="Times New Roman" w:cs="Times New Roman"/>
          <w:color w:val="auto"/>
          <w:sz w:val="24"/>
          <w:szCs w:val="24"/>
        </w:rPr>
        <w:t>、</w:t>
      </w:r>
      <w:r>
        <w:rPr>
          <w:rFonts w:ascii="Times New Roman" w:hAnsi="Times New Roman" w:cs="Times New Roman"/>
          <w:color w:val="auto"/>
          <w:sz w:val="24"/>
          <w:szCs w:val="24"/>
        </w:rPr>
        <w:t>环境监测资料</w:t>
      </w:r>
      <w:r>
        <w:rPr>
          <w:rFonts w:hint="eastAsia" w:ascii="Times New Roman" w:hAnsi="Times New Roman" w:cs="Times New Roman"/>
          <w:color w:val="auto"/>
          <w:sz w:val="24"/>
          <w:szCs w:val="24"/>
        </w:rPr>
        <w:t>、</w:t>
      </w:r>
      <w:r>
        <w:rPr>
          <w:rFonts w:ascii="Times New Roman" w:hAnsi="Times New Roman" w:cs="Times New Roman"/>
          <w:color w:val="auto"/>
          <w:sz w:val="24"/>
          <w:szCs w:val="24"/>
        </w:rPr>
        <w:t>相关单位往来函件</w:t>
      </w:r>
      <w:r>
        <w:rPr>
          <w:rFonts w:hint="eastAsia" w:ascii="Times New Roman" w:hAnsi="Times New Roman" w:cs="Times New Roman"/>
          <w:color w:val="auto"/>
          <w:sz w:val="24"/>
          <w:szCs w:val="24"/>
        </w:rPr>
        <w:t>、</w:t>
      </w:r>
      <w:r>
        <w:rPr>
          <w:rFonts w:ascii="Times New Roman" w:hAnsi="Times New Roman" w:cs="Times New Roman"/>
          <w:color w:val="auto"/>
          <w:sz w:val="24"/>
          <w:szCs w:val="24"/>
        </w:rPr>
        <w:t>环境监理报告</w:t>
      </w:r>
      <w:r>
        <w:rPr>
          <w:rFonts w:hint="eastAsia" w:ascii="Times New Roman" w:hAnsi="Times New Roman" w:cs="Times New Roman"/>
          <w:color w:val="auto"/>
          <w:sz w:val="24"/>
          <w:szCs w:val="24"/>
        </w:rPr>
        <w:t>、</w:t>
      </w:r>
      <w:r>
        <w:rPr>
          <w:rFonts w:ascii="Times New Roman" w:hAnsi="Times New Roman" w:cs="Times New Roman"/>
          <w:color w:val="auto"/>
          <w:sz w:val="24"/>
          <w:szCs w:val="24"/>
        </w:rPr>
        <w:t>环境监理工作记录文件</w:t>
      </w:r>
      <w:r>
        <w:rPr>
          <w:rFonts w:hint="eastAsia" w:ascii="Times New Roman" w:hAnsi="Times New Roman" w:cs="Times New Roman"/>
          <w:color w:val="auto"/>
          <w:sz w:val="24"/>
          <w:szCs w:val="24"/>
        </w:rPr>
        <w:t>、</w:t>
      </w:r>
      <w:r>
        <w:rPr>
          <w:rFonts w:ascii="Times New Roman" w:hAnsi="Times New Roman" w:cs="Times New Roman"/>
          <w:color w:val="auto"/>
          <w:sz w:val="24"/>
          <w:szCs w:val="24"/>
        </w:rPr>
        <w:t>环境监理工作表单</w:t>
      </w:r>
      <w:r>
        <w:rPr>
          <w:rFonts w:hint="eastAsia" w:ascii="Times New Roman" w:hAnsi="Times New Roman" w:cs="Times New Roman"/>
          <w:color w:val="auto"/>
          <w:sz w:val="24"/>
          <w:szCs w:val="24"/>
        </w:rPr>
        <w:t>、</w:t>
      </w:r>
      <w:r>
        <w:rPr>
          <w:rFonts w:ascii="Times New Roman" w:hAnsi="Times New Roman" w:cs="Times New Roman"/>
          <w:color w:val="auto"/>
          <w:sz w:val="24"/>
          <w:szCs w:val="24"/>
        </w:rPr>
        <w:t>环境监理工作影像资料</w:t>
      </w:r>
      <w:r>
        <w:rPr>
          <w:rFonts w:hint="eastAsia" w:ascii="Times New Roman" w:hAnsi="Times New Roman" w:cs="Times New Roman"/>
          <w:color w:val="auto"/>
          <w:sz w:val="24"/>
          <w:szCs w:val="24"/>
        </w:rPr>
        <w:t>和</w:t>
      </w:r>
      <w:r>
        <w:rPr>
          <w:rFonts w:ascii="Times New Roman" w:hAnsi="Times New Roman" w:cs="Times New Roman"/>
          <w:color w:val="auto"/>
          <w:sz w:val="24"/>
          <w:szCs w:val="24"/>
        </w:rPr>
        <w:t>电子文档等。</w:t>
      </w:r>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24"/>
          <w:szCs w:val="24"/>
        </w:rPr>
        <w:sectPr>
          <w:pgSz w:w="11906" w:h="16838"/>
          <w:pgMar w:top="1440" w:right="1440" w:bottom="1440" w:left="1440" w:header="851" w:footer="992" w:gutter="0"/>
          <w:cols w:space="720" w:num="1"/>
          <w:docGrid w:type="lines" w:linePitch="312" w:charSpace="0"/>
        </w:sectPr>
      </w:pPr>
    </w:p>
    <w:bookmarkEnd w:id="17"/>
    <w:bookmarkEnd w:id="99"/>
    <w:p>
      <w:pPr>
        <w:pStyle w:val="138"/>
        <w:numPr>
          <w:ilvl w:val="1"/>
          <w:numId w:val="23"/>
        </w:numPr>
        <w:spacing w:before="156" w:after="156" w:line="360" w:lineRule="auto"/>
        <w:jc w:val="center"/>
        <w:outlineLvl w:val="0"/>
        <w:rPr>
          <w:rFonts w:ascii="Times New Roman"/>
          <w:color w:val="auto"/>
          <w:sz w:val="24"/>
        </w:rPr>
      </w:pPr>
      <w:bookmarkStart w:id="110" w:name="_Toc51260727"/>
      <w:bookmarkEnd w:id="110"/>
      <w:bookmarkStart w:id="111" w:name="_Toc23479"/>
      <w:bookmarkStart w:id="112" w:name="_Toc512528995"/>
      <w:bookmarkStart w:id="113" w:name="_Toc496792288"/>
      <w:r>
        <w:rPr>
          <w:rFonts w:ascii="Times New Roman"/>
          <w:color w:val="auto"/>
          <w:sz w:val="24"/>
        </w:rPr>
        <w:t>环境监理工作相关文件示例</w:t>
      </w:r>
      <w:bookmarkEnd w:id="111"/>
    </w:p>
    <w:p>
      <w:pPr>
        <w:pStyle w:val="138"/>
        <w:spacing w:before="156" w:after="156" w:line="360" w:lineRule="auto"/>
        <w:ind w:left="444"/>
        <w:jc w:val="left"/>
        <w:outlineLvl w:val="9"/>
        <w:rPr>
          <w:rFonts w:ascii="Times New Roman"/>
          <w:color w:val="auto"/>
          <w:kern w:val="10"/>
          <w:sz w:val="24"/>
          <w:szCs w:val="24"/>
        </w:rPr>
      </w:pPr>
      <w:r>
        <w:rPr>
          <w:rFonts w:ascii="Times New Roman"/>
          <w:color w:val="auto"/>
          <w:sz w:val="24"/>
          <w:szCs w:val="24"/>
        </w:rPr>
        <w:t xml:space="preserve">1.1 </w:t>
      </w:r>
      <w:r>
        <w:rPr>
          <w:rFonts w:ascii="Times New Roman"/>
          <w:color w:val="auto"/>
          <w:kern w:val="10"/>
          <w:sz w:val="24"/>
          <w:szCs w:val="24"/>
        </w:rPr>
        <w:t>环境监理工作联系单</w:t>
      </w:r>
    </w:p>
    <w:p>
      <w:pPr>
        <w:pStyle w:val="138"/>
        <w:spacing w:before="156" w:after="156" w:line="360" w:lineRule="auto"/>
        <w:ind w:left="444"/>
        <w:jc w:val="left"/>
        <w:outlineLvl w:val="9"/>
        <w:rPr>
          <w:rFonts w:ascii="Times New Roman"/>
          <w:color w:val="auto"/>
          <w:kern w:val="10"/>
          <w:sz w:val="24"/>
          <w:szCs w:val="24"/>
        </w:rPr>
      </w:pPr>
      <w:r>
        <w:rPr>
          <w:rFonts w:ascii="Times New Roman"/>
          <w:color w:val="auto"/>
          <w:kern w:val="10"/>
          <w:sz w:val="24"/>
          <w:szCs w:val="24"/>
        </w:rPr>
        <w:t>1.2 整改通知单</w:t>
      </w:r>
    </w:p>
    <w:p>
      <w:pPr>
        <w:pStyle w:val="138"/>
        <w:spacing w:before="156" w:after="156" w:line="360" w:lineRule="auto"/>
        <w:ind w:left="444"/>
        <w:jc w:val="left"/>
        <w:outlineLvl w:val="9"/>
        <w:rPr>
          <w:rFonts w:ascii="Times New Roman"/>
          <w:color w:val="auto"/>
          <w:kern w:val="10"/>
          <w:sz w:val="24"/>
          <w:szCs w:val="24"/>
        </w:rPr>
      </w:pPr>
      <w:r>
        <w:rPr>
          <w:rFonts w:ascii="Times New Roman"/>
          <w:color w:val="auto"/>
          <w:kern w:val="10"/>
          <w:sz w:val="24"/>
          <w:szCs w:val="24"/>
        </w:rPr>
        <w:t>1.3 停工通知单</w:t>
      </w:r>
    </w:p>
    <w:p>
      <w:pPr>
        <w:pStyle w:val="138"/>
        <w:spacing w:before="156" w:after="156" w:line="360" w:lineRule="auto"/>
        <w:ind w:left="444"/>
        <w:jc w:val="left"/>
        <w:outlineLvl w:val="9"/>
        <w:rPr>
          <w:rFonts w:ascii="Times New Roman"/>
          <w:color w:val="auto"/>
          <w:kern w:val="10"/>
          <w:sz w:val="24"/>
          <w:szCs w:val="24"/>
        </w:rPr>
      </w:pPr>
      <w:r>
        <w:rPr>
          <w:rFonts w:ascii="Times New Roman"/>
          <w:color w:val="auto"/>
          <w:kern w:val="10"/>
          <w:sz w:val="24"/>
          <w:szCs w:val="24"/>
        </w:rPr>
        <w:t>1.4 复工指令单</w:t>
      </w:r>
    </w:p>
    <w:p>
      <w:pPr>
        <w:pStyle w:val="138"/>
        <w:spacing w:before="156" w:after="156" w:line="360" w:lineRule="auto"/>
        <w:ind w:left="444"/>
        <w:jc w:val="left"/>
        <w:outlineLvl w:val="9"/>
        <w:rPr>
          <w:rFonts w:ascii="Times New Roman"/>
          <w:color w:val="auto"/>
          <w:kern w:val="10"/>
          <w:sz w:val="24"/>
          <w:szCs w:val="24"/>
        </w:rPr>
      </w:pPr>
      <w:r>
        <w:rPr>
          <w:rFonts w:ascii="Times New Roman"/>
          <w:color w:val="auto"/>
          <w:kern w:val="10"/>
          <w:sz w:val="24"/>
          <w:szCs w:val="24"/>
        </w:rPr>
        <w:t>1.5 环境监理日志</w:t>
      </w:r>
    </w:p>
    <w:p>
      <w:pPr>
        <w:pStyle w:val="138"/>
        <w:spacing w:before="156" w:after="156" w:line="360" w:lineRule="auto"/>
        <w:ind w:left="444"/>
        <w:jc w:val="left"/>
        <w:outlineLvl w:val="9"/>
        <w:rPr>
          <w:rFonts w:ascii="Times New Roman"/>
          <w:color w:val="auto"/>
          <w:kern w:val="10"/>
          <w:sz w:val="24"/>
          <w:szCs w:val="24"/>
        </w:rPr>
      </w:pPr>
      <w:r>
        <w:rPr>
          <w:rFonts w:ascii="Times New Roman"/>
          <w:color w:val="auto"/>
          <w:kern w:val="10"/>
          <w:sz w:val="24"/>
          <w:szCs w:val="24"/>
        </w:rPr>
        <w:t xml:space="preserve">1.6 </w:t>
      </w:r>
      <w:r>
        <w:rPr>
          <w:rFonts w:hint="eastAsia" w:ascii="Times New Roman"/>
          <w:color w:val="auto"/>
          <w:kern w:val="10"/>
          <w:sz w:val="24"/>
          <w:szCs w:val="24"/>
        </w:rPr>
        <w:t>突发</w:t>
      </w:r>
      <w:r>
        <w:rPr>
          <w:rFonts w:ascii="Times New Roman"/>
          <w:color w:val="auto"/>
          <w:kern w:val="10"/>
          <w:sz w:val="24"/>
          <w:szCs w:val="24"/>
        </w:rPr>
        <w:t>环境</w:t>
      </w:r>
      <w:r>
        <w:rPr>
          <w:rFonts w:hint="eastAsia" w:ascii="Times New Roman"/>
          <w:color w:val="auto"/>
          <w:kern w:val="10"/>
          <w:sz w:val="24"/>
          <w:szCs w:val="24"/>
        </w:rPr>
        <w:t>事件</w:t>
      </w:r>
      <w:r>
        <w:rPr>
          <w:rFonts w:ascii="Times New Roman"/>
          <w:color w:val="auto"/>
          <w:kern w:val="10"/>
          <w:sz w:val="24"/>
          <w:szCs w:val="24"/>
        </w:rPr>
        <w:t>报告单</w:t>
      </w:r>
    </w:p>
    <w:p>
      <w:pPr>
        <w:widowControl/>
        <w:jc w:val="left"/>
        <w:rPr>
          <w:rFonts w:ascii="Times New Roman" w:hAnsi="Times New Roman" w:cs="Times New Roman"/>
          <w:color w:val="auto"/>
          <w:kern w:val="0"/>
          <w:szCs w:val="21"/>
        </w:rPr>
      </w:pPr>
    </w:p>
    <w:p>
      <w:pPr>
        <w:widowControl/>
        <w:jc w:val="left"/>
        <w:rPr>
          <w:rFonts w:ascii="Times New Roman" w:hAnsi="Times New Roman" w:cs="Times New Roman"/>
          <w:color w:val="auto"/>
          <w:kern w:val="0"/>
          <w:szCs w:val="21"/>
        </w:rPr>
      </w:pPr>
      <w:r>
        <w:rPr>
          <w:rFonts w:ascii="Times New Roman" w:hAnsi="Times New Roman" w:cs="Times New Roman"/>
          <w:color w:val="auto"/>
          <w:kern w:val="0"/>
          <w:szCs w:val="21"/>
        </w:rPr>
        <w:br w:type="page"/>
      </w:r>
    </w:p>
    <w:p>
      <w:pPr>
        <w:pStyle w:val="138"/>
        <w:numPr>
          <w:ilvl w:val="2"/>
          <w:numId w:val="23"/>
        </w:numPr>
        <w:spacing w:before="156" w:after="156" w:line="360" w:lineRule="auto"/>
        <w:jc w:val="center"/>
        <w:outlineLvl w:val="2"/>
        <w:rPr>
          <w:rFonts w:ascii="Times New Roman"/>
          <w:color w:val="auto"/>
          <w:kern w:val="10"/>
          <w:sz w:val="24"/>
          <w:szCs w:val="24"/>
        </w:rPr>
      </w:pPr>
      <w:r>
        <w:rPr>
          <w:rFonts w:ascii="Times New Roman"/>
          <w:color w:val="auto"/>
          <w:kern w:val="10"/>
          <w:sz w:val="24"/>
          <w:szCs w:val="24"/>
        </w:rPr>
        <w:t>环境监理工作联系单</w:t>
      </w:r>
    </w:p>
    <w:tbl>
      <w:tblPr>
        <w:tblStyle w:val="45"/>
        <w:tblW w:w="8825" w:type="dxa"/>
        <w:tblInd w:w="108" w:type="dxa"/>
        <w:tblLayout w:type="fixed"/>
        <w:tblCellMar>
          <w:top w:w="0" w:type="dxa"/>
          <w:left w:w="108" w:type="dxa"/>
          <w:bottom w:w="0" w:type="dxa"/>
          <w:right w:w="108" w:type="dxa"/>
        </w:tblCellMar>
      </w:tblPr>
      <w:tblGrid>
        <w:gridCol w:w="1089"/>
        <w:gridCol w:w="1179"/>
        <w:gridCol w:w="2550"/>
        <w:gridCol w:w="570"/>
        <w:gridCol w:w="1214"/>
        <w:gridCol w:w="1816"/>
        <w:gridCol w:w="407"/>
      </w:tblGrid>
      <w:tr>
        <w:tblPrEx>
          <w:tblLayout w:type="fixed"/>
          <w:tblCellMar>
            <w:top w:w="0" w:type="dxa"/>
            <w:left w:w="108" w:type="dxa"/>
            <w:bottom w:w="0" w:type="dxa"/>
            <w:right w:w="108" w:type="dxa"/>
          </w:tblCellMar>
        </w:tblPrEx>
        <w:trPr>
          <w:trHeight w:val="283" w:hRule="atLeast"/>
        </w:trPr>
        <w:tc>
          <w:tcPr>
            <w:tcW w:w="5388" w:type="dxa"/>
            <w:gridSpan w:val="4"/>
            <w:vAlign w:val="bottom"/>
          </w:tcPr>
          <w:p>
            <w:pPr>
              <w:widowControl/>
              <w:spacing w:line="360" w:lineRule="auto"/>
              <w:jc w:val="left"/>
              <w:rPr>
                <w:rFonts w:ascii="Times New Roman" w:hAnsi="Times New Roman" w:cs="Times New Roman"/>
                <w:color w:val="auto"/>
                <w:kern w:val="0"/>
                <w:szCs w:val="21"/>
              </w:rPr>
            </w:pPr>
          </w:p>
        </w:tc>
        <w:tc>
          <w:tcPr>
            <w:tcW w:w="1214" w:type="dxa"/>
            <w:vAlign w:val="center"/>
          </w:tcPr>
          <w:p>
            <w:pPr>
              <w:widowControl/>
              <w:spacing w:line="360" w:lineRule="auto"/>
              <w:ind w:firstLine="455" w:firstLineChars="217"/>
              <w:rPr>
                <w:rFonts w:ascii="Times New Roman" w:hAnsi="Times New Roman" w:cs="Times New Roman"/>
                <w:color w:val="auto"/>
                <w:kern w:val="0"/>
                <w:szCs w:val="21"/>
              </w:rPr>
            </w:pPr>
            <w:r>
              <w:rPr>
                <w:rFonts w:ascii="Times New Roman" w:hAnsi="Times New Roman" w:cs="Times New Roman"/>
                <w:color w:val="auto"/>
                <w:kern w:val="0"/>
                <w:szCs w:val="21"/>
              </w:rPr>
              <w:t>编号：</w:t>
            </w:r>
          </w:p>
        </w:tc>
        <w:tc>
          <w:tcPr>
            <w:tcW w:w="2223" w:type="dxa"/>
            <w:gridSpan w:val="2"/>
            <w:vAlign w:val="center"/>
          </w:tcPr>
          <w:p>
            <w:pPr>
              <w:widowControl/>
              <w:spacing w:line="360" w:lineRule="auto"/>
              <w:jc w:val="center"/>
              <w:rPr>
                <w:rFonts w:ascii="Times New Roman" w:hAnsi="Times New Roman" w:cs="Times New Roman"/>
                <w:color w:val="auto"/>
                <w:kern w:val="0"/>
                <w:szCs w:val="21"/>
              </w:rPr>
            </w:pPr>
            <w:r>
              <w:rPr>
                <w:rFonts w:ascii="Times New Roman" w:hAnsi="Times New Roman" w:eastAsia="DotumChe" w:cs="Times New Roman"/>
                <w:color w:val="auto"/>
                <w:kern w:val="0"/>
                <w:sz w:val="20"/>
                <w:szCs w:val="21"/>
              </w:rPr>
              <w:t>XXXXXX</w:t>
            </w:r>
          </w:p>
        </w:tc>
      </w:tr>
      <w:tr>
        <w:tblPrEx>
          <w:tblLayout w:type="fixed"/>
          <w:tblCellMar>
            <w:top w:w="0" w:type="dxa"/>
            <w:left w:w="108" w:type="dxa"/>
            <w:bottom w:w="0" w:type="dxa"/>
            <w:right w:w="108" w:type="dxa"/>
          </w:tblCellMar>
        </w:tblPrEx>
        <w:trPr>
          <w:trHeight w:val="708" w:hRule="atLeast"/>
        </w:trPr>
        <w:tc>
          <w:tcPr>
            <w:tcW w:w="2268"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Times New Roman" w:hAnsi="Times New Roman" w:cs="Times New Roman"/>
                <w:color w:val="auto"/>
                <w:kern w:val="0"/>
                <w:szCs w:val="21"/>
              </w:rPr>
            </w:pPr>
            <w:r>
              <w:rPr>
                <w:rFonts w:ascii="Times New Roman" w:hAnsi="Times New Roman" w:cs="Times New Roman"/>
                <w:color w:val="auto"/>
                <w:kern w:val="0"/>
                <w:szCs w:val="21"/>
              </w:rPr>
              <w:t>工程名称</w:t>
            </w:r>
          </w:p>
        </w:tc>
        <w:tc>
          <w:tcPr>
            <w:tcW w:w="6557" w:type="dxa"/>
            <w:gridSpan w:val="5"/>
            <w:tcBorders>
              <w:top w:val="single" w:color="auto" w:sz="4" w:space="0"/>
              <w:left w:val="nil"/>
              <w:bottom w:val="single" w:color="auto" w:sz="4" w:space="0"/>
              <w:right w:val="single" w:color="auto" w:sz="4" w:space="0"/>
            </w:tcBorders>
            <w:vAlign w:val="center"/>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rPr>
              <w:t>　</w:t>
            </w:r>
          </w:p>
        </w:tc>
      </w:tr>
      <w:tr>
        <w:tblPrEx>
          <w:tblLayout w:type="fixed"/>
          <w:tblCellMar>
            <w:top w:w="0" w:type="dxa"/>
            <w:left w:w="108" w:type="dxa"/>
            <w:bottom w:w="0" w:type="dxa"/>
            <w:right w:w="108" w:type="dxa"/>
          </w:tblCellMar>
        </w:tblPrEx>
        <w:trPr>
          <w:trHeight w:val="567" w:hRule="atLeast"/>
        </w:trPr>
        <w:tc>
          <w:tcPr>
            <w:tcW w:w="1089" w:type="dxa"/>
            <w:tcBorders>
              <w:top w:val="nil"/>
              <w:left w:val="single" w:color="auto" w:sz="4" w:space="0"/>
              <w:right w:val="nil"/>
            </w:tcBorders>
            <w:vAlign w:val="bottom"/>
          </w:tcPr>
          <w:p>
            <w:pPr>
              <w:widowControl/>
              <w:spacing w:line="360" w:lineRule="auto"/>
              <w:jc w:val="right"/>
              <w:rPr>
                <w:rFonts w:ascii="Times New Roman" w:hAnsi="Times New Roman" w:cs="Times New Roman"/>
                <w:color w:val="auto"/>
                <w:kern w:val="0"/>
                <w:szCs w:val="21"/>
              </w:rPr>
            </w:pPr>
            <w:r>
              <w:rPr>
                <w:rFonts w:ascii="Times New Roman" w:hAnsi="Times New Roman" w:cs="Times New Roman"/>
                <w:color w:val="auto"/>
                <w:kern w:val="0"/>
                <w:szCs w:val="21"/>
              </w:rPr>
              <w:t>致</w:t>
            </w:r>
          </w:p>
        </w:tc>
        <w:tc>
          <w:tcPr>
            <w:tcW w:w="3729" w:type="dxa"/>
            <w:gridSpan w:val="2"/>
            <w:tcBorders>
              <w:top w:val="nil"/>
              <w:left w:val="nil"/>
              <w:right w:val="nil"/>
            </w:tcBorders>
            <w:vAlign w:val="bottom"/>
          </w:tcPr>
          <w:p>
            <w:pPr>
              <w:widowControl/>
              <w:spacing w:line="360" w:lineRule="auto"/>
              <w:jc w:val="left"/>
              <w:rPr>
                <w:rFonts w:ascii="Times New Roman" w:hAnsi="Times New Roman" w:cs="Times New Roman"/>
                <w:color w:val="auto"/>
                <w:kern w:val="0"/>
                <w:szCs w:val="21"/>
                <w:u w:val="single"/>
              </w:rPr>
            </w:pPr>
            <w:r>
              <w:rPr>
                <w:rFonts w:ascii="Times New Roman" w:hAnsi="Times New Roman" w:cs="Times New Roman"/>
                <w:color w:val="auto"/>
                <w:kern w:val="0"/>
                <w:szCs w:val="21"/>
                <w:u w:val="single"/>
              </w:rPr>
              <w:t xml:space="preserve"> </w:t>
            </w:r>
            <w:r>
              <w:rPr>
                <w:rFonts w:hint="eastAsia" w:ascii="Times New Roman" w:hAnsi="Times New Roman" w:cs="Times New Roman"/>
                <w:color w:val="auto"/>
                <w:kern w:val="0"/>
                <w:szCs w:val="21"/>
                <w:u w:val="single"/>
              </w:rPr>
              <w:t>（施工单位）</w:t>
            </w:r>
            <w:r>
              <w:rPr>
                <w:rFonts w:ascii="Times New Roman" w:hAnsi="Times New Roman" w:cs="Times New Roman"/>
                <w:color w:val="auto"/>
                <w:kern w:val="0"/>
                <w:szCs w:val="21"/>
                <w:u w:val="single"/>
              </w:rPr>
              <w:t xml:space="preserve">                                  　</w:t>
            </w:r>
          </w:p>
        </w:tc>
        <w:tc>
          <w:tcPr>
            <w:tcW w:w="4007" w:type="dxa"/>
            <w:gridSpan w:val="4"/>
            <w:tcBorders>
              <w:top w:val="nil"/>
              <w:left w:val="nil"/>
              <w:bottom w:val="nil"/>
              <w:right w:val="single" w:color="000000" w:sz="4" w:space="0"/>
            </w:tcBorders>
            <w:vAlign w:val="bottom"/>
          </w:tcPr>
          <w:p>
            <w:pPr>
              <w:widowControl/>
              <w:spacing w:line="360" w:lineRule="auto"/>
              <w:jc w:val="left"/>
              <w:rPr>
                <w:rFonts w:ascii="Times New Roman" w:hAnsi="Times New Roman" w:cs="Times New Roman"/>
                <w:color w:val="auto"/>
                <w:kern w:val="0"/>
                <w:szCs w:val="21"/>
              </w:rPr>
            </w:pPr>
            <w:r>
              <w:rPr>
                <w:rFonts w:hint="eastAsia" w:ascii="Times New Roman" w:hAnsi="Times New Roman" w:cs="Times New Roman"/>
                <w:color w:val="auto"/>
                <w:kern w:val="0"/>
                <w:szCs w:val="21"/>
              </w:rPr>
              <w:t>：</w:t>
            </w:r>
          </w:p>
        </w:tc>
      </w:tr>
      <w:tr>
        <w:tblPrEx>
          <w:tblLayout w:type="fixed"/>
          <w:tblCellMar>
            <w:top w:w="0" w:type="dxa"/>
            <w:left w:w="108" w:type="dxa"/>
            <w:bottom w:w="0" w:type="dxa"/>
            <w:right w:w="108" w:type="dxa"/>
          </w:tblCellMar>
        </w:tblPrEx>
        <w:trPr>
          <w:trHeight w:val="533" w:hRule="atLeast"/>
        </w:trPr>
        <w:tc>
          <w:tcPr>
            <w:tcW w:w="1089" w:type="dxa"/>
            <w:tcBorders>
              <w:left w:val="single" w:color="auto" w:sz="4" w:space="0"/>
              <w:bottom w:val="nil"/>
              <w:right w:val="nil"/>
            </w:tcBorders>
            <w:vAlign w:val="bottom"/>
          </w:tcPr>
          <w:p>
            <w:pPr>
              <w:widowControl/>
              <w:spacing w:line="360" w:lineRule="auto"/>
              <w:jc w:val="right"/>
              <w:rPr>
                <w:rFonts w:ascii="Times New Roman" w:hAnsi="Times New Roman" w:cs="Times New Roman"/>
                <w:color w:val="auto"/>
                <w:kern w:val="0"/>
                <w:szCs w:val="21"/>
              </w:rPr>
            </w:pPr>
            <w:r>
              <w:rPr>
                <w:rFonts w:ascii="Times New Roman" w:hAnsi="Times New Roman" w:cs="Times New Roman"/>
                <w:color w:val="auto"/>
                <w:kern w:val="0"/>
                <w:szCs w:val="21"/>
              </w:rPr>
              <w:t>　抄送</w:t>
            </w:r>
          </w:p>
        </w:tc>
        <w:tc>
          <w:tcPr>
            <w:tcW w:w="3729" w:type="dxa"/>
            <w:gridSpan w:val="2"/>
            <w:tcBorders>
              <w:left w:val="nil"/>
              <w:right w:val="nil"/>
            </w:tcBorders>
            <w:vAlign w:val="bottom"/>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u w:val="single"/>
              </w:rPr>
              <w:t xml:space="preserve"> </w:t>
            </w:r>
            <w:r>
              <w:rPr>
                <w:rFonts w:hint="eastAsia" w:ascii="Times New Roman" w:hAnsi="Times New Roman" w:cs="Times New Roman"/>
                <w:color w:val="auto"/>
                <w:kern w:val="0"/>
                <w:szCs w:val="21"/>
                <w:u w:val="single"/>
              </w:rPr>
              <w:t>（土壤污染修复责任主体）</w:t>
            </w:r>
            <w:r>
              <w:rPr>
                <w:rFonts w:ascii="Times New Roman" w:hAnsi="Times New Roman" w:cs="Times New Roman"/>
                <w:color w:val="auto"/>
                <w:kern w:val="0"/>
                <w:szCs w:val="21"/>
                <w:u w:val="single"/>
              </w:rPr>
              <w:t xml:space="preserve">                                </w:t>
            </w:r>
          </w:p>
        </w:tc>
        <w:tc>
          <w:tcPr>
            <w:tcW w:w="4007" w:type="dxa"/>
            <w:gridSpan w:val="4"/>
            <w:tcBorders>
              <w:top w:val="nil"/>
              <w:left w:val="nil"/>
              <w:bottom w:val="nil"/>
              <w:right w:val="single" w:color="000000" w:sz="4" w:space="0"/>
            </w:tcBorders>
            <w:vAlign w:val="bottom"/>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567" w:hRule="atLeast"/>
        </w:trPr>
        <w:tc>
          <w:tcPr>
            <w:tcW w:w="8825" w:type="dxa"/>
            <w:gridSpan w:val="7"/>
            <w:tcBorders>
              <w:top w:val="nil"/>
              <w:left w:val="single" w:color="auto" w:sz="4" w:space="0"/>
              <w:bottom w:val="nil"/>
              <w:right w:val="single" w:color="000000" w:sz="4" w:space="0"/>
            </w:tcBorders>
            <w:vAlign w:val="bottom"/>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rPr>
              <w:t xml:space="preserve">    事由：</w:t>
            </w:r>
          </w:p>
        </w:tc>
      </w:tr>
      <w:tr>
        <w:tblPrEx>
          <w:tblLayout w:type="fixed"/>
          <w:tblCellMar>
            <w:top w:w="0" w:type="dxa"/>
            <w:left w:w="108" w:type="dxa"/>
            <w:bottom w:w="0" w:type="dxa"/>
            <w:right w:w="108" w:type="dxa"/>
          </w:tblCellMar>
        </w:tblPrEx>
        <w:trPr>
          <w:trHeight w:val="567" w:hRule="atLeast"/>
        </w:trPr>
        <w:tc>
          <w:tcPr>
            <w:tcW w:w="8825" w:type="dxa"/>
            <w:gridSpan w:val="7"/>
            <w:vMerge w:val="restart"/>
            <w:tcBorders>
              <w:top w:val="nil"/>
              <w:left w:val="single" w:color="auto" w:sz="4" w:space="0"/>
              <w:bottom w:val="nil"/>
              <w:right w:val="single" w:color="000000" w:sz="4" w:space="0"/>
            </w:tcBorders>
            <w:vAlign w:val="center"/>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567" w:hRule="atLeast"/>
        </w:trPr>
        <w:tc>
          <w:tcPr>
            <w:tcW w:w="8825" w:type="dxa"/>
            <w:gridSpan w:val="7"/>
            <w:vMerge w:val="continue"/>
            <w:tcBorders>
              <w:top w:val="nil"/>
              <w:left w:val="single" w:color="auto" w:sz="4" w:space="0"/>
              <w:bottom w:val="nil"/>
              <w:right w:val="single" w:color="000000" w:sz="4" w:space="0"/>
            </w:tcBorders>
            <w:vAlign w:val="center"/>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567" w:hRule="atLeast"/>
        </w:trPr>
        <w:tc>
          <w:tcPr>
            <w:tcW w:w="8825" w:type="dxa"/>
            <w:gridSpan w:val="7"/>
            <w:vMerge w:val="continue"/>
            <w:tcBorders>
              <w:top w:val="nil"/>
              <w:left w:val="single" w:color="auto" w:sz="4" w:space="0"/>
              <w:bottom w:val="nil"/>
              <w:right w:val="single" w:color="000000" w:sz="4" w:space="0"/>
            </w:tcBorders>
            <w:vAlign w:val="center"/>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567" w:hRule="atLeast"/>
        </w:trPr>
        <w:tc>
          <w:tcPr>
            <w:tcW w:w="8825" w:type="dxa"/>
            <w:gridSpan w:val="7"/>
            <w:vMerge w:val="continue"/>
            <w:tcBorders>
              <w:top w:val="nil"/>
              <w:left w:val="single" w:color="auto" w:sz="4" w:space="0"/>
              <w:bottom w:val="nil"/>
              <w:right w:val="single" w:color="000000" w:sz="4" w:space="0"/>
            </w:tcBorders>
            <w:vAlign w:val="center"/>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567" w:hRule="atLeast"/>
        </w:trPr>
        <w:tc>
          <w:tcPr>
            <w:tcW w:w="8825" w:type="dxa"/>
            <w:gridSpan w:val="7"/>
            <w:tcBorders>
              <w:top w:val="nil"/>
              <w:left w:val="single" w:color="auto" w:sz="4" w:space="0"/>
              <w:bottom w:val="nil"/>
              <w:right w:val="single" w:color="000000" w:sz="4" w:space="0"/>
            </w:tcBorders>
            <w:vAlign w:val="bottom"/>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rPr>
              <w:t xml:space="preserve">    内容：</w:t>
            </w:r>
          </w:p>
        </w:tc>
      </w:tr>
      <w:tr>
        <w:tblPrEx>
          <w:tblLayout w:type="fixed"/>
          <w:tblCellMar>
            <w:top w:w="0" w:type="dxa"/>
            <w:left w:w="108" w:type="dxa"/>
            <w:bottom w:w="0" w:type="dxa"/>
            <w:right w:w="108" w:type="dxa"/>
          </w:tblCellMar>
        </w:tblPrEx>
        <w:trPr>
          <w:trHeight w:val="1018" w:hRule="atLeast"/>
        </w:trPr>
        <w:tc>
          <w:tcPr>
            <w:tcW w:w="8825" w:type="dxa"/>
            <w:gridSpan w:val="7"/>
            <w:tcBorders>
              <w:top w:val="nil"/>
              <w:left w:val="single" w:color="auto" w:sz="4" w:space="0"/>
              <w:bottom w:val="nil"/>
              <w:right w:val="single" w:color="000000" w:sz="4" w:space="0"/>
            </w:tcBorders>
            <w:vAlign w:val="center"/>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1017" w:hRule="atLeast"/>
        </w:trPr>
        <w:tc>
          <w:tcPr>
            <w:tcW w:w="8825" w:type="dxa"/>
            <w:gridSpan w:val="7"/>
            <w:tcBorders>
              <w:top w:val="nil"/>
              <w:left w:val="single" w:color="auto" w:sz="4" w:space="0"/>
              <w:bottom w:val="nil"/>
              <w:right w:val="single" w:color="000000" w:sz="4" w:space="0"/>
            </w:tcBorders>
            <w:vAlign w:val="center"/>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567" w:hRule="atLeast"/>
        </w:trPr>
        <w:tc>
          <w:tcPr>
            <w:tcW w:w="4818" w:type="dxa"/>
            <w:gridSpan w:val="3"/>
            <w:tcBorders>
              <w:top w:val="nil"/>
              <w:left w:val="single" w:color="auto" w:sz="4" w:space="0"/>
              <w:bottom w:val="nil"/>
              <w:right w:val="nil"/>
            </w:tcBorders>
            <w:vAlign w:val="center"/>
          </w:tcPr>
          <w:p>
            <w:pPr>
              <w:widowControl/>
              <w:spacing w:line="360" w:lineRule="auto"/>
              <w:jc w:val="right"/>
              <w:rPr>
                <w:rFonts w:ascii="Times New Roman" w:hAnsi="Times New Roman" w:cs="Times New Roman"/>
                <w:color w:val="auto"/>
                <w:kern w:val="0"/>
                <w:szCs w:val="21"/>
              </w:rPr>
            </w:pPr>
            <w:r>
              <w:rPr>
                <w:rFonts w:ascii="Times New Roman" w:hAnsi="Times New Roman" w:cs="Times New Roman"/>
                <w:color w:val="auto"/>
                <w:szCs w:val="21"/>
              </w:rPr>
              <w:t>环境监理单位（盖章）</w:t>
            </w:r>
            <w:r>
              <w:rPr>
                <w:rFonts w:ascii="Times New Roman" w:hAnsi="Times New Roman" w:cs="Times New Roman"/>
                <w:color w:val="auto"/>
                <w:kern w:val="0"/>
                <w:szCs w:val="21"/>
              </w:rPr>
              <w:t>：</w:t>
            </w:r>
          </w:p>
        </w:tc>
        <w:tc>
          <w:tcPr>
            <w:tcW w:w="3600" w:type="dxa"/>
            <w:gridSpan w:val="3"/>
            <w:tcBorders>
              <w:top w:val="nil"/>
              <w:left w:val="nil"/>
              <w:bottom w:val="single" w:color="auto" w:sz="4" w:space="0"/>
              <w:right w:val="nil"/>
            </w:tcBorders>
            <w:vAlign w:val="center"/>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rPr>
              <w:t>　</w:t>
            </w:r>
          </w:p>
        </w:tc>
        <w:tc>
          <w:tcPr>
            <w:tcW w:w="407" w:type="dxa"/>
            <w:vMerge w:val="restart"/>
            <w:tcBorders>
              <w:top w:val="nil"/>
              <w:left w:val="nil"/>
              <w:bottom w:val="nil"/>
              <w:right w:val="single" w:color="auto" w:sz="4" w:space="0"/>
            </w:tcBorders>
            <w:vAlign w:val="center"/>
          </w:tcPr>
          <w:p>
            <w:pPr>
              <w:widowControl/>
              <w:spacing w:line="360" w:lineRule="auto"/>
              <w:jc w:val="center"/>
              <w:rPr>
                <w:rFonts w:ascii="Times New Roman" w:hAnsi="Times New Roman" w:cs="Times New Roman"/>
                <w:color w:val="auto"/>
                <w:kern w:val="0"/>
                <w:szCs w:val="21"/>
              </w:rPr>
            </w:pPr>
            <w:r>
              <w:rPr>
                <w:rFonts w:ascii="Times New Roman" w:hAnsi="Times New Roman" w:cs="Times New Roman"/>
                <w:color w:val="auto"/>
                <w:kern w:val="0"/>
                <w:szCs w:val="21"/>
              </w:rPr>
              <w:t>　</w:t>
            </w:r>
          </w:p>
        </w:tc>
      </w:tr>
      <w:tr>
        <w:tblPrEx>
          <w:tblLayout w:type="fixed"/>
          <w:tblCellMar>
            <w:top w:w="0" w:type="dxa"/>
            <w:left w:w="108" w:type="dxa"/>
            <w:bottom w:w="0" w:type="dxa"/>
            <w:right w:w="108" w:type="dxa"/>
          </w:tblCellMar>
        </w:tblPrEx>
        <w:trPr>
          <w:trHeight w:val="567" w:hRule="atLeast"/>
        </w:trPr>
        <w:tc>
          <w:tcPr>
            <w:tcW w:w="4818" w:type="dxa"/>
            <w:gridSpan w:val="3"/>
            <w:tcBorders>
              <w:top w:val="nil"/>
              <w:left w:val="single" w:color="auto" w:sz="4" w:space="0"/>
              <w:bottom w:val="nil"/>
              <w:right w:val="nil"/>
            </w:tcBorders>
            <w:vAlign w:val="center"/>
          </w:tcPr>
          <w:p>
            <w:pPr>
              <w:widowControl/>
              <w:spacing w:line="360" w:lineRule="auto"/>
              <w:jc w:val="right"/>
              <w:rPr>
                <w:rFonts w:ascii="Times New Roman" w:hAnsi="Times New Roman" w:cs="Times New Roman"/>
                <w:color w:val="auto"/>
                <w:kern w:val="0"/>
                <w:szCs w:val="21"/>
              </w:rPr>
            </w:pPr>
            <w:r>
              <w:rPr>
                <w:rFonts w:ascii="Times New Roman" w:hAnsi="Times New Roman" w:cs="Times New Roman"/>
                <w:color w:val="auto"/>
                <w:szCs w:val="21"/>
              </w:rPr>
              <w:t>环境监理项目负责人（签字）</w:t>
            </w:r>
            <w:r>
              <w:rPr>
                <w:rFonts w:ascii="Times New Roman" w:hAnsi="Times New Roman" w:cs="Times New Roman"/>
                <w:color w:val="auto"/>
                <w:kern w:val="0"/>
                <w:szCs w:val="21"/>
              </w:rPr>
              <w:t>：</w:t>
            </w:r>
          </w:p>
        </w:tc>
        <w:tc>
          <w:tcPr>
            <w:tcW w:w="3600" w:type="dxa"/>
            <w:gridSpan w:val="3"/>
            <w:tcBorders>
              <w:top w:val="nil"/>
              <w:left w:val="nil"/>
              <w:bottom w:val="single" w:color="auto" w:sz="4" w:space="0"/>
              <w:right w:val="nil"/>
            </w:tcBorders>
            <w:vAlign w:val="center"/>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rPr>
              <w:t>　</w:t>
            </w:r>
          </w:p>
        </w:tc>
        <w:tc>
          <w:tcPr>
            <w:tcW w:w="407" w:type="dxa"/>
            <w:vMerge w:val="continue"/>
            <w:tcBorders>
              <w:top w:val="nil"/>
              <w:left w:val="nil"/>
              <w:bottom w:val="nil"/>
              <w:right w:val="single" w:color="auto" w:sz="4" w:space="0"/>
            </w:tcBorders>
            <w:vAlign w:val="center"/>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567" w:hRule="atLeast"/>
        </w:trPr>
        <w:tc>
          <w:tcPr>
            <w:tcW w:w="4818" w:type="dxa"/>
            <w:gridSpan w:val="3"/>
            <w:tcBorders>
              <w:top w:val="nil"/>
              <w:left w:val="single" w:color="auto" w:sz="4" w:space="0"/>
              <w:bottom w:val="single" w:color="auto" w:sz="4" w:space="0"/>
              <w:right w:val="nil"/>
            </w:tcBorders>
            <w:vAlign w:val="center"/>
          </w:tcPr>
          <w:p>
            <w:pPr>
              <w:widowControl/>
              <w:spacing w:line="360" w:lineRule="auto"/>
              <w:jc w:val="right"/>
              <w:rPr>
                <w:rFonts w:ascii="Times New Roman" w:hAnsi="Times New Roman" w:cs="Times New Roman"/>
                <w:color w:val="auto"/>
                <w:kern w:val="0"/>
                <w:szCs w:val="21"/>
              </w:rPr>
            </w:pPr>
            <w:r>
              <w:rPr>
                <w:rFonts w:ascii="Times New Roman" w:hAnsi="Times New Roman" w:cs="Times New Roman"/>
                <w:color w:val="auto"/>
                <w:kern w:val="0"/>
                <w:szCs w:val="21"/>
              </w:rPr>
              <w:t>日    期：</w:t>
            </w:r>
          </w:p>
        </w:tc>
        <w:tc>
          <w:tcPr>
            <w:tcW w:w="3600" w:type="dxa"/>
            <w:gridSpan w:val="3"/>
            <w:tcBorders>
              <w:top w:val="single" w:color="auto" w:sz="4" w:space="0"/>
              <w:left w:val="nil"/>
              <w:bottom w:val="single" w:color="auto" w:sz="4" w:space="0"/>
              <w:right w:val="nil"/>
            </w:tcBorders>
            <w:vAlign w:val="center"/>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 xml:space="preserve">年 </w:t>
            </w: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月</w:t>
            </w: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日</w:t>
            </w:r>
          </w:p>
        </w:tc>
        <w:tc>
          <w:tcPr>
            <w:tcW w:w="407" w:type="dxa"/>
            <w:vMerge w:val="continue"/>
            <w:tcBorders>
              <w:top w:val="nil"/>
              <w:left w:val="nil"/>
              <w:bottom w:val="single" w:color="auto" w:sz="4" w:space="0"/>
              <w:right w:val="single" w:color="auto" w:sz="4" w:space="0"/>
            </w:tcBorders>
            <w:vAlign w:val="center"/>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668" w:hRule="atLeast"/>
        </w:trPr>
        <w:tc>
          <w:tcPr>
            <w:tcW w:w="8825" w:type="dxa"/>
            <w:gridSpan w:val="7"/>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Times New Roman" w:hAnsi="Times New Roman" w:cs="Times New Roman"/>
                <w:color w:val="auto"/>
                <w:kern w:val="0"/>
                <w:szCs w:val="21"/>
              </w:rPr>
            </w:pPr>
            <w:r>
              <w:rPr>
                <w:rFonts w:hint="eastAsia" w:ascii="Times New Roman" w:hAnsi="Times New Roman" w:cs="Times New Roman"/>
                <w:color w:val="auto"/>
                <w:kern w:val="0"/>
                <w:szCs w:val="21"/>
              </w:rPr>
              <w:t>施工单位签署意见：</w:t>
            </w:r>
          </w:p>
          <w:p>
            <w:pPr>
              <w:widowControl/>
              <w:spacing w:line="360" w:lineRule="auto"/>
              <w:jc w:val="left"/>
              <w:rPr>
                <w:rFonts w:ascii="Times New Roman" w:hAnsi="Times New Roman" w:cs="Times New Roman"/>
                <w:color w:val="auto"/>
                <w:kern w:val="0"/>
                <w:szCs w:val="21"/>
              </w:rPr>
            </w:pPr>
          </w:p>
          <w:p>
            <w:pPr>
              <w:widowControl/>
              <w:spacing w:line="360" w:lineRule="auto"/>
              <w:jc w:val="left"/>
              <w:rPr>
                <w:rFonts w:ascii="Times New Roman" w:hAnsi="Times New Roman" w:cs="Times New Roman"/>
                <w:color w:val="auto"/>
                <w:kern w:val="0"/>
                <w:szCs w:val="21"/>
              </w:rPr>
            </w:pPr>
          </w:p>
          <w:p>
            <w:pPr>
              <w:widowControl/>
              <w:spacing w:line="360" w:lineRule="auto"/>
              <w:jc w:val="left"/>
              <w:rPr>
                <w:rFonts w:ascii="Times New Roman" w:hAnsi="Times New Roman" w:cs="Times New Roman"/>
                <w:color w:val="auto"/>
                <w:kern w:val="0"/>
                <w:szCs w:val="21"/>
              </w:rPr>
            </w:pPr>
          </w:p>
          <w:p>
            <w:pPr>
              <w:widowControl/>
              <w:spacing w:line="360" w:lineRule="auto"/>
              <w:jc w:val="center"/>
              <w:rPr>
                <w:rFonts w:ascii="Times New Roman" w:hAnsi="Times New Roman" w:cs="Times New Roman"/>
                <w:color w:val="auto"/>
                <w:kern w:val="0"/>
                <w:szCs w:val="21"/>
              </w:rPr>
            </w:pPr>
            <w:r>
              <w:rPr>
                <w:rFonts w:hint="eastAsia" w:ascii="Times New Roman" w:hAnsi="Times New Roman" w:cs="Times New Roman"/>
                <w:color w:val="auto"/>
                <w:kern w:val="0"/>
                <w:szCs w:val="21"/>
              </w:rPr>
              <w:t>施工单位（盖章）：</w:t>
            </w:r>
          </w:p>
          <w:p>
            <w:pPr>
              <w:widowControl/>
              <w:spacing w:line="360" w:lineRule="auto"/>
              <w:jc w:val="center"/>
              <w:rPr>
                <w:rFonts w:ascii="Times New Roman" w:hAnsi="Times New Roman" w:cs="Times New Roman"/>
                <w:color w:val="auto"/>
                <w:kern w:val="0"/>
                <w:szCs w:val="21"/>
              </w:rPr>
            </w:pPr>
            <w:r>
              <w:rPr>
                <w:rFonts w:hint="eastAsia" w:ascii="Times New Roman" w:hAnsi="Times New Roman" w:cs="Times New Roman"/>
                <w:color w:val="auto"/>
                <w:kern w:val="0"/>
                <w:szCs w:val="21"/>
              </w:rPr>
              <w:t>项目经理（签字）：</w:t>
            </w:r>
          </w:p>
          <w:p>
            <w:pPr>
              <w:widowControl/>
              <w:spacing w:line="360" w:lineRule="auto"/>
              <w:jc w:val="center"/>
              <w:rPr>
                <w:rFonts w:ascii="Times New Roman" w:hAnsi="Times New Roman" w:cs="Times New Roman"/>
                <w:color w:val="auto"/>
                <w:kern w:val="0"/>
                <w:szCs w:val="21"/>
              </w:rPr>
            </w:pPr>
            <w:r>
              <w:rPr>
                <w:rFonts w:hint="eastAsia" w:ascii="Times New Roman" w:hAnsi="Times New Roman" w:cs="Times New Roman"/>
                <w:color w:val="auto"/>
                <w:kern w:val="0"/>
                <w:szCs w:val="21"/>
              </w:rPr>
              <w:t xml:space="preserve">            日期：</w:t>
            </w: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 xml:space="preserve">年 </w:t>
            </w: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月</w:t>
            </w: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日</w:t>
            </w:r>
          </w:p>
        </w:tc>
      </w:tr>
    </w:tbl>
    <w:p>
      <w:pPr>
        <w:widowControl/>
        <w:spacing w:line="360" w:lineRule="auto"/>
        <w:jc w:val="left"/>
        <w:rPr>
          <w:rFonts w:ascii="Times New Roman" w:hAnsi="Times New Roman" w:eastAsia="等线" w:cs="Times New Roman"/>
          <w:color w:val="auto"/>
          <w:szCs w:val="21"/>
        </w:rPr>
        <w:sectPr>
          <w:pgSz w:w="11906" w:h="16838"/>
          <w:pgMar w:top="1440" w:right="1440" w:bottom="1440" w:left="1440" w:header="851" w:footer="992" w:gutter="0"/>
          <w:cols w:space="720" w:num="1"/>
          <w:docGrid w:type="lines" w:linePitch="312" w:charSpace="0"/>
        </w:sectPr>
      </w:pPr>
    </w:p>
    <w:p>
      <w:pPr>
        <w:pStyle w:val="138"/>
        <w:numPr>
          <w:ilvl w:val="2"/>
          <w:numId w:val="23"/>
        </w:numPr>
        <w:spacing w:before="156" w:after="156" w:line="360" w:lineRule="auto"/>
        <w:jc w:val="center"/>
        <w:outlineLvl w:val="2"/>
        <w:rPr>
          <w:rFonts w:ascii="Times New Roman"/>
          <w:color w:val="auto"/>
          <w:kern w:val="10"/>
          <w:sz w:val="24"/>
          <w:szCs w:val="24"/>
        </w:rPr>
      </w:pPr>
      <w:r>
        <w:rPr>
          <w:rFonts w:ascii="Times New Roman"/>
          <w:color w:val="auto"/>
          <w:kern w:val="10"/>
          <w:sz w:val="24"/>
          <w:szCs w:val="24"/>
        </w:rPr>
        <w:t>整改通知单</w:t>
      </w:r>
    </w:p>
    <w:p>
      <w:pPr>
        <w:pStyle w:val="59"/>
        <w:spacing w:line="360" w:lineRule="auto"/>
        <w:ind w:firstLine="420"/>
        <w:rPr>
          <w:rFonts w:ascii="Times New Roman" w:hAnsi="Times New Roman" w:cs="Times New Roman"/>
          <w:color w:val="auto"/>
        </w:rPr>
      </w:pPr>
    </w:p>
    <w:tbl>
      <w:tblPr>
        <w:tblStyle w:val="45"/>
        <w:tblW w:w="8927" w:type="dxa"/>
        <w:tblInd w:w="108" w:type="dxa"/>
        <w:tblLayout w:type="fixed"/>
        <w:tblCellMar>
          <w:top w:w="0" w:type="dxa"/>
          <w:left w:w="108" w:type="dxa"/>
          <w:bottom w:w="0" w:type="dxa"/>
          <w:right w:w="108" w:type="dxa"/>
        </w:tblCellMar>
      </w:tblPr>
      <w:tblGrid>
        <w:gridCol w:w="1118"/>
        <w:gridCol w:w="1150"/>
        <w:gridCol w:w="2677"/>
        <w:gridCol w:w="584"/>
        <w:gridCol w:w="1148"/>
        <w:gridCol w:w="1962"/>
        <w:gridCol w:w="288"/>
      </w:tblGrid>
      <w:tr>
        <w:tblPrEx>
          <w:tblLayout w:type="fixed"/>
          <w:tblCellMar>
            <w:top w:w="0" w:type="dxa"/>
            <w:left w:w="108" w:type="dxa"/>
            <w:bottom w:w="0" w:type="dxa"/>
            <w:right w:w="108" w:type="dxa"/>
          </w:tblCellMar>
        </w:tblPrEx>
        <w:trPr>
          <w:trHeight w:val="253" w:hRule="atLeast"/>
        </w:trPr>
        <w:tc>
          <w:tcPr>
            <w:tcW w:w="5529" w:type="dxa"/>
            <w:gridSpan w:val="4"/>
            <w:vAlign w:val="bottom"/>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rPr>
              <w:t xml:space="preserve"> </w:t>
            </w:r>
          </w:p>
        </w:tc>
        <w:tc>
          <w:tcPr>
            <w:tcW w:w="1148" w:type="dxa"/>
            <w:vAlign w:val="center"/>
          </w:tcPr>
          <w:p>
            <w:pPr>
              <w:widowControl/>
              <w:spacing w:line="360" w:lineRule="auto"/>
              <w:ind w:firstLine="308" w:firstLineChars="147"/>
              <w:rPr>
                <w:rFonts w:ascii="Times New Roman" w:hAnsi="Times New Roman" w:cs="Times New Roman"/>
                <w:color w:val="auto"/>
                <w:kern w:val="0"/>
                <w:szCs w:val="21"/>
              </w:rPr>
            </w:pPr>
            <w:r>
              <w:rPr>
                <w:rFonts w:ascii="Times New Roman" w:hAnsi="Times New Roman" w:cs="Times New Roman"/>
                <w:color w:val="auto"/>
                <w:kern w:val="0"/>
                <w:szCs w:val="21"/>
              </w:rPr>
              <w:t>编号：</w:t>
            </w:r>
          </w:p>
        </w:tc>
        <w:tc>
          <w:tcPr>
            <w:tcW w:w="2250" w:type="dxa"/>
            <w:gridSpan w:val="2"/>
            <w:vAlign w:val="center"/>
          </w:tcPr>
          <w:p>
            <w:pPr>
              <w:widowControl/>
              <w:spacing w:line="360" w:lineRule="auto"/>
              <w:jc w:val="center"/>
              <w:rPr>
                <w:rFonts w:ascii="Times New Roman" w:hAnsi="Times New Roman" w:cs="Times New Roman"/>
                <w:color w:val="auto"/>
                <w:kern w:val="0"/>
                <w:szCs w:val="21"/>
              </w:rPr>
            </w:pPr>
            <w:r>
              <w:rPr>
                <w:rFonts w:ascii="Times New Roman" w:hAnsi="Times New Roman" w:eastAsia="DotumChe" w:cs="Times New Roman"/>
                <w:color w:val="auto"/>
                <w:kern w:val="0"/>
                <w:sz w:val="20"/>
                <w:szCs w:val="21"/>
              </w:rPr>
              <w:t>XXXXXX</w:t>
            </w:r>
          </w:p>
        </w:tc>
      </w:tr>
      <w:tr>
        <w:tblPrEx>
          <w:tblLayout w:type="fixed"/>
          <w:tblCellMar>
            <w:top w:w="0" w:type="dxa"/>
            <w:left w:w="108" w:type="dxa"/>
            <w:bottom w:w="0" w:type="dxa"/>
            <w:right w:w="108" w:type="dxa"/>
          </w:tblCellMar>
        </w:tblPrEx>
        <w:trPr>
          <w:trHeight w:val="634" w:hRule="atLeast"/>
        </w:trPr>
        <w:tc>
          <w:tcPr>
            <w:tcW w:w="2268"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Times New Roman" w:hAnsi="Times New Roman" w:cs="Times New Roman"/>
                <w:color w:val="auto"/>
                <w:kern w:val="0"/>
                <w:szCs w:val="21"/>
              </w:rPr>
            </w:pPr>
            <w:r>
              <w:rPr>
                <w:rFonts w:ascii="Times New Roman" w:hAnsi="Times New Roman" w:cs="Times New Roman"/>
                <w:color w:val="auto"/>
                <w:kern w:val="0"/>
                <w:szCs w:val="21"/>
              </w:rPr>
              <w:t>工程名称</w:t>
            </w:r>
          </w:p>
        </w:tc>
        <w:tc>
          <w:tcPr>
            <w:tcW w:w="6659" w:type="dxa"/>
            <w:gridSpan w:val="5"/>
            <w:tcBorders>
              <w:top w:val="single" w:color="auto" w:sz="4" w:space="0"/>
              <w:left w:val="nil"/>
              <w:bottom w:val="single" w:color="auto" w:sz="4" w:space="0"/>
              <w:right w:val="single" w:color="auto" w:sz="4" w:space="0"/>
            </w:tcBorders>
            <w:vAlign w:val="center"/>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rPr>
              <w:t>　</w:t>
            </w:r>
          </w:p>
        </w:tc>
      </w:tr>
      <w:tr>
        <w:tblPrEx>
          <w:tblLayout w:type="fixed"/>
          <w:tblCellMar>
            <w:top w:w="0" w:type="dxa"/>
            <w:left w:w="108" w:type="dxa"/>
            <w:bottom w:w="0" w:type="dxa"/>
            <w:right w:w="108" w:type="dxa"/>
          </w:tblCellMar>
        </w:tblPrEx>
        <w:trPr>
          <w:trHeight w:val="507" w:hRule="atLeast"/>
        </w:trPr>
        <w:tc>
          <w:tcPr>
            <w:tcW w:w="1118" w:type="dxa"/>
            <w:tcBorders>
              <w:top w:val="nil"/>
              <w:left w:val="single" w:color="auto" w:sz="4" w:space="0"/>
              <w:bottom w:val="nil"/>
              <w:right w:val="nil"/>
            </w:tcBorders>
            <w:vAlign w:val="bottom"/>
          </w:tcPr>
          <w:p>
            <w:pPr>
              <w:widowControl/>
              <w:spacing w:line="360" w:lineRule="auto"/>
              <w:jc w:val="right"/>
              <w:rPr>
                <w:rFonts w:ascii="Times New Roman" w:hAnsi="Times New Roman" w:cs="Times New Roman"/>
                <w:color w:val="auto"/>
                <w:kern w:val="0"/>
                <w:szCs w:val="21"/>
              </w:rPr>
            </w:pPr>
            <w:r>
              <w:rPr>
                <w:rFonts w:ascii="Times New Roman" w:hAnsi="Times New Roman" w:cs="Times New Roman"/>
                <w:color w:val="auto"/>
                <w:kern w:val="0"/>
                <w:szCs w:val="21"/>
              </w:rPr>
              <w:t>致</w:t>
            </w:r>
          </w:p>
        </w:tc>
        <w:tc>
          <w:tcPr>
            <w:tcW w:w="3827" w:type="dxa"/>
            <w:gridSpan w:val="2"/>
            <w:tcBorders>
              <w:top w:val="nil"/>
              <w:left w:val="nil"/>
              <w:right w:val="nil"/>
            </w:tcBorders>
            <w:vAlign w:val="bottom"/>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u w:val="single"/>
              </w:rPr>
              <w:t xml:space="preserve">  </w:t>
            </w:r>
            <w:r>
              <w:rPr>
                <w:rFonts w:hint="eastAsia" w:ascii="Times New Roman" w:hAnsi="Times New Roman" w:cs="Times New Roman"/>
                <w:color w:val="auto"/>
                <w:kern w:val="0"/>
                <w:szCs w:val="21"/>
                <w:u w:val="single"/>
              </w:rPr>
              <w:t>（施工单位）</w:t>
            </w: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　</w:t>
            </w:r>
          </w:p>
        </w:tc>
        <w:tc>
          <w:tcPr>
            <w:tcW w:w="3982" w:type="dxa"/>
            <w:gridSpan w:val="4"/>
            <w:tcBorders>
              <w:top w:val="nil"/>
              <w:left w:val="nil"/>
              <w:bottom w:val="nil"/>
              <w:right w:val="single" w:color="000000" w:sz="4" w:space="0"/>
            </w:tcBorders>
            <w:vAlign w:val="bottom"/>
          </w:tcPr>
          <w:p>
            <w:pPr>
              <w:widowControl/>
              <w:spacing w:line="360" w:lineRule="auto"/>
              <w:jc w:val="left"/>
              <w:rPr>
                <w:rFonts w:ascii="Times New Roman" w:hAnsi="Times New Roman" w:cs="Times New Roman"/>
                <w:color w:val="auto"/>
                <w:kern w:val="0"/>
                <w:szCs w:val="21"/>
              </w:rPr>
            </w:pPr>
            <w:r>
              <w:rPr>
                <w:rFonts w:hint="eastAsia" w:ascii="Times New Roman" w:hAnsi="Times New Roman" w:cs="Times New Roman"/>
                <w:color w:val="auto"/>
                <w:kern w:val="0"/>
                <w:szCs w:val="21"/>
              </w:rPr>
              <w:t>：</w:t>
            </w:r>
          </w:p>
        </w:tc>
      </w:tr>
      <w:tr>
        <w:tblPrEx>
          <w:tblLayout w:type="fixed"/>
          <w:tblCellMar>
            <w:top w:w="0" w:type="dxa"/>
            <w:left w:w="108" w:type="dxa"/>
            <w:bottom w:w="0" w:type="dxa"/>
            <w:right w:w="108" w:type="dxa"/>
          </w:tblCellMar>
        </w:tblPrEx>
        <w:trPr>
          <w:trHeight w:val="497" w:hRule="atLeast"/>
        </w:trPr>
        <w:tc>
          <w:tcPr>
            <w:tcW w:w="1118" w:type="dxa"/>
            <w:tcBorders>
              <w:left w:val="single" w:color="auto" w:sz="4" w:space="0"/>
              <w:bottom w:val="nil"/>
              <w:right w:val="nil"/>
            </w:tcBorders>
            <w:vAlign w:val="bottom"/>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rPr>
              <w:t>　  抄送</w:t>
            </w:r>
          </w:p>
        </w:tc>
        <w:tc>
          <w:tcPr>
            <w:tcW w:w="3827" w:type="dxa"/>
            <w:gridSpan w:val="2"/>
            <w:tcBorders>
              <w:left w:val="nil"/>
              <w:right w:val="nil"/>
            </w:tcBorders>
            <w:vAlign w:val="bottom"/>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u w:val="single"/>
              </w:rPr>
              <w:t xml:space="preserve">   </w:t>
            </w:r>
            <w:r>
              <w:rPr>
                <w:rFonts w:hint="eastAsia" w:ascii="Times New Roman" w:hAnsi="Times New Roman" w:cs="Times New Roman"/>
                <w:color w:val="auto"/>
                <w:kern w:val="0"/>
                <w:szCs w:val="21"/>
                <w:u w:val="single"/>
              </w:rPr>
              <w:t>（土壤污染修复责任主体）</w:t>
            </w:r>
            <w:r>
              <w:rPr>
                <w:rFonts w:ascii="Times New Roman" w:hAnsi="Times New Roman" w:cs="Times New Roman"/>
                <w:color w:val="auto"/>
                <w:kern w:val="0"/>
                <w:szCs w:val="21"/>
                <w:u w:val="single"/>
              </w:rPr>
              <w:t xml:space="preserve">                                </w:t>
            </w:r>
          </w:p>
        </w:tc>
        <w:tc>
          <w:tcPr>
            <w:tcW w:w="3982" w:type="dxa"/>
            <w:gridSpan w:val="4"/>
            <w:tcBorders>
              <w:top w:val="nil"/>
              <w:left w:val="nil"/>
              <w:bottom w:val="nil"/>
              <w:right w:val="single" w:color="auto" w:sz="4" w:space="0"/>
            </w:tcBorders>
            <w:vAlign w:val="bottom"/>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507" w:hRule="atLeast"/>
        </w:trPr>
        <w:tc>
          <w:tcPr>
            <w:tcW w:w="8927" w:type="dxa"/>
            <w:gridSpan w:val="7"/>
            <w:tcBorders>
              <w:top w:val="nil"/>
              <w:left w:val="single" w:color="auto" w:sz="4" w:space="0"/>
              <w:bottom w:val="nil"/>
              <w:right w:val="single" w:color="000000" w:sz="4" w:space="0"/>
            </w:tcBorders>
            <w:vAlign w:val="bottom"/>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rPr>
              <w:t xml:space="preserve">    事由：</w:t>
            </w:r>
          </w:p>
        </w:tc>
      </w:tr>
      <w:tr>
        <w:tblPrEx>
          <w:tblLayout w:type="fixed"/>
          <w:tblCellMar>
            <w:top w:w="0" w:type="dxa"/>
            <w:left w:w="108" w:type="dxa"/>
            <w:bottom w:w="0" w:type="dxa"/>
            <w:right w:w="108" w:type="dxa"/>
          </w:tblCellMar>
        </w:tblPrEx>
        <w:trPr>
          <w:trHeight w:val="507" w:hRule="atLeast"/>
        </w:trPr>
        <w:tc>
          <w:tcPr>
            <w:tcW w:w="8927" w:type="dxa"/>
            <w:gridSpan w:val="7"/>
            <w:vMerge w:val="restart"/>
            <w:tcBorders>
              <w:top w:val="nil"/>
              <w:left w:val="single" w:color="auto" w:sz="4" w:space="0"/>
              <w:bottom w:val="nil"/>
              <w:right w:val="single" w:color="000000" w:sz="4" w:space="0"/>
            </w:tcBorders>
            <w:vAlign w:val="center"/>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507" w:hRule="atLeast"/>
        </w:trPr>
        <w:tc>
          <w:tcPr>
            <w:tcW w:w="8927" w:type="dxa"/>
            <w:gridSpan w:val="7"/>
            <w:vMerge w:val="continue"/>
            <w:tcBorders>
              <w:top w:val="nil"/>
              <w:left w:val="single" w:color="auto" w:sz="4" w:space="0"/>
              <w:bottom w:val="nil"/>
              <w:right w:val="single" w:color="000000" w:sz="4" w:space="0"/>
            </w:tcBorders>
            <w:vAlign w:val="center"/>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507" w:hRule="atLeast"/>
        </w:trPr>
        <w:tc>
          <w:tcPr>
            <w:tcW w:w="8927" w:type="dxa"/>
            <w:gridSpan w:val="7"/>
            <w:vMerge w:val="continue"/>
            <w:tcBorders>
              <w:top w:val="nil"/>
              <w:left w:val="single" w:color="auto" w:sz="4" w:space="0"/>
              <w:bottom w:val="nil"/>
              <w:right w:val="single" w:color="000000" w:sz="4" w:space="0"/>
            </w:tcBorders>
            <w:vAlign w:val="center"/>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507" w:hRule="atLeast"/>
        </w:trPr>
        <w:tc>
          <w:tcPr>
            <w:tcW w:w="8927" w:type="dxa"/>
            <w:gridSpan w:val="7"/>
            <w:vMerge w:val="continue"/>
            <w:tcBorders>
              <w:top w:val="nil"/>
              <w:left w:val="single" w:color="auto" w:sz="4" w:space="0"/>
              <w:bottom w:val="nil"/>
              <w:right w:val="single" w:color="000000" w:sz="4" w:space="0"/>
            </w:tcBorders>
            <w:vAlign w:val="center"/>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507" w:hRule="atLeast"/>
        </w:trPr>
        <w:tc>
          <w:tcPr>
            <w:tcW w:w="8927" w:type="dxa"/>
            <w:gridSpan w:val="7"/>
            <w:tcBorders>
              <w:top w:val="nil"/>
              <w:left w:val="single" w:color="auto" w:sz="4" w:space="0"/>
              <w:bottom w:val="nil"/>
              <w:right w:val="single" w:color="000000" w:sz="4" w:space="0"/>
            </w:tcBorders>
            <w:vAlign w:val="bottom"/>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rPr>
              <w:t xml:space="preserve">    内容：</w:t>
            </w:r>
          </w:p>
        </w:tc>
      </w:tr>
      <w:tr>
        <w:tblPrEx>
          <w:tblLayout w:type="fixed"/>
          <w:tblCellMar>
            <w:top w:w="0" w:type="dxa"/>
            <w:left w:w="108" w:type="dxa"/>
            <w:bottom w:w="0" w:type="dxa"/>
            <w:right w:w="108" w:type="dxa"/>
          </w:tblCellMar>
        </w:tblPrEx>
        <w:trPr>
          <w:trHeight w:val="748" w:hRule="atLeast"/>
        </w:trPr>
        <w:tc>
          <w:tcPr>
            <w:tcW w:w="8927" w:type="dxa"/>
            <w:gridSpan w:val="7"/>
            <w:tcBorders>
              <w:top w:val="nil"/>
              <w:left w:val="single" w:color="auto" w:sz="4" w:space="0"/>
              <w:bottom w:val="nil"/>
              <w:right w:val="single" w:color="000000" w:sz="4" w:space="0"/>
            </w:tcBorders>
            <w:vAlign w:val="center"/>
          </w:tcPr>
          <w:p>
            <w:pPr>
              <w:widowControl/>
              <w:spacing w:line="360" w:lineRule="auto"/>
              <w:jc w:val="left"/>
              <w:rPr>
                <w:rFonts w:ascii="Times New Roman" w:hAnsi="Times New Roman" w:cs="Times New Roman"/>
                <w:color w:val="auto"/>
                <w:kern w:val="0"/>
                <w:szCs w:val="21"/>
              </w:rPr>
            </w:pPr>
          </w:p>
          <w:p>
            <w:pPr>
              <w:widowControl/>
              <w:spacing w:line="360" w:lineRule="auto"/>
              <w:jc w:val="left"/>
              <w:rPr>
                <w:rFonts w:ascii="Times New Roman" w:hAnsi="Times New Roman" w:cs="Times New Roman"/>
                <w:color w:val="auto"/>
                <w:kern w:val="0"/>
                <w:szCs w:val="21"/>
              </w:rPr>
            </w:pPr>
          </w:p>
          <w:p>
            <w:pPr>
              <w:widowControl/>
              <w:spacing w:line="360" w:lineRule="auto"/>
              <w:jc w:val="left"/>
              <w:rPr>
                <w:rFonts w:ascii="Times New Roman" w:hAnsi="Times New Roman" w:cs="Times New Roman"/>
                <w:color w:val="auto"/>
                <w:kern w:val="0"/>
                <w:szCs w:val="21"/>
              </w:rPr>
            </w:pPr>
          </w:p>
          <w:p>
            <w:pPr>
              <w:widowControl/>
              <w:spacing w:line="360" w:lineRule="auto"/>
              <w:jc w:val="left"/>
              <w:rPr>
                <w:rFonts w:ascii="Times New Roman" w:hAnsi="Times New Roman" w:cs="Times New Roman"/>
                <w:color w:val="auto"/>
                <w:kern w:val="0"/>
                <w:szCs w:val="21"/>
              </w:rPr>
            </w:pPr>
          </w:p>
          <w:p>
            <w:pPr>
              <w:widowControl/>
              <w:spacing w:line="360" w:lineRule="auto"/>
              <w:jc w:val="left"/>
              <w:rPr>
                <w:rFonts w:ascii="Times New Roman" w:hAnsi="Times New Roman" w:cs="Times New Roman"/>
                <w:color w:val="auto"/>
                <w:kern w:val="0"/>
                <w:szCs w:val="21"/>
              </w:rPr>
            </w:pPr>
          </w:p>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507" w:hRule="atLeast"/>
        </w:trPr>
        <w:tc>
          <w:tcPr>
            <w:tcW w:w="4945" w:type="dxa"/>
            <w:gridSpan w:val="3"/>
            <w:tcBorders>
              <w:top w:val="nil"/>
              <w:left w:val="single" w:color="auto" w:sz="4" w:space="0"/>
              <w:bottom w:val="nil"/>
              <w:right w:val="nil"/>
            </w:tcBorders>
            <w:vAlign w:val="center"/>
          </w:tcPr>
          <w:p>
            <w:pPr>
              <w:widowControl/>
              <w:spacing w:line="360" w:lineRule="auto"/>
              <w:jc w:val="right"/>
              <w:rPr>
                <w:rFonts w:ascii="Times New Roman" w:hAnsi="Times New Roman" w:cs="Times New Roman"/>
                <w:color w:val="auto"/>
                <w:kern w:val="0"/>
                <w:szCs w:val="21"/>
              </w:rPr>
            </w:pPr>
            <w:r>
              <w:rPr>
                <w:rFonts w:ascii="Times New Roman" w:hAnsi="Times New Roman" w:cs="Times New Roman"/>
                <w:color w:val="auto"/>
                <w:szCs w:val="21"/>
              </w:rPr>
              <w:t>环境监理单位（盖章）</w:t>
            </w:r>
            <w:r>
              <w:rPr>
                <w:rFonts w:ascii="Times New Roman" w:hAnsi="Times New Roman" w:cs="Times New Roman"/>
                <w:color w:val="auto"/>
                <w:kern w:val="0"/>
                <w:szCs w:val="21"/>
              </w:rPr>
              <w:t>：</w:t>
            </w:r>
          </w:p>
        </w:tc>
        <w:tc>
          <w:tcPr>
            <w:tcW w:w="3694" w:type="dxa"/>
            <w:gridSpan w:val="3"/>
            <w:tcBorders>
              <w:top w:val="nil"/>
              <w:left w:val="nil"/>
              <w:bottom w:val="single" w:color="auto" w:sz="4" w:space="0"/>
              <w:right w:val="nil"/>
            </w:tcBorders>
            <w:vAlign w:val="center"/>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rPr>
              <w:t>　</w:t>
            </w:r>
          </w:p>
        </w:tc>
        <w:tc>
          <w:tcPr>
            <w:tcW w:w="288" w:type="dxa"/>
            <w:vMerge w:val="restart"/>
            <w:tcBorders>
              <w:top w:val="nil"/>
              <w:left w:val="nil"/>
              <w:bottom w:val="nil"/>
              <w:right w:val="single" w:color="auto" w:sz="4" w:space="0"/>
            </w:tcBorders>
            <w:vAlign w:val="center"/>
          </w:tcPr>
          <w:p>
            <w:pPr>
              <w:widowControl/>
              <w:spacing w:line="360" w:lineRule="auto"/>
              <w:jc w:val="center"/>
              <w:rPr>
                <w:rFonts w:ascii="Times New Roman" w:hAnsi="Times New Roman" w:cs="Times New Roman"/>
                <w:color w:val="auto"/>
                <w:kern w:val="0"/>
                <w:szCs w:val="21"/>
              </w:rPr>
            </w:pPr>
            <w:r>
              <w:rPr>
                <w:rFonts w:ascii="Times New Roman" w:hAnsi="Times New Roman" w:cs="Times New Roman"/>
                <w:color w:val="auto"/>
                <w:kern w:val="0"/>
                <w:szCs w:val="21"/>
              </w:rPr>
              <w:t>　</w:t>
            </w:r>
          </w:p>
        </w:tc>
      </w:tr>
      <w:tr>
        <w:tblPrEx>
          <w:tblLayout w:type="fixed"/>
          <w:tblCellMar>
            <w:top w:w="0" w:type="dxa"/>
            <w:left w:w="108" w:type="dxa"/>
            <w:bottom w:w="0" w:type="dxa"/>
            <w:right w:w="108" w:type="dxa"/>
          </w:tblCellMar>
        </w:tblPrEx>
        <w:trPr>
          <w:trHeight w:val="507" w:hRule="atLeast"/>
        </w:trPr>
        <w:tc>
          <w:tcPr>
            <w:tcW w:w="4945" w:type="dxa"/>
            <w:gridSpan w:val="3"/>
            <w:tcBorders>
              <w:top w:val="nil"/>
              <w:left w:val="single" w:color="auto" w:sz="4" w:space="0"/>
              <w:bottom w:val="nil"/>
              <w:right w:val="nil"/>
            </w:tcBorders>
            <w:vAlign w:val="center"/>
          </w:tcPr>
          <w:p>
            <w:pPr>
              <w:widowControl/>
              <w:spacing w:line="360" w:lineRule="auto"/>
              <w:jc w:val="right"/>
              <w:rPr>
                <w:rFonts w:ascii="Times New Roman" w:hAnsi="Times New Roman" w:cs="Times New Roman"/>
                <w:color w:val="auto"/>
                <w:kern w:val="0"/>
                <w:szCs w:val="21"/>
              </w:rPr>
            </w:pPr>
            <w:r>
              <w:rPr>
                <w:rFonts w:ascii="Times New Roman" w:hAnsi="Times New Roman" w:cs="Times New Roman"/>
                <w:color w:val="auto"/>
                <w:szCs w:val="21"/>
              </w:rPr>
              <w:t>环境监理项目负责人（签字）</w:t>
            </w:r>
            <w:r>
              <w:rPr>
                <w:rFonts w:ascii="Times New Roman" w:hAnsi="Times New Roman" w:cs="Times New Roman"/>
                <w:color w:val="auto"/>
                <w:kern w:val="0"/>
                <w:szCs w:val="21"/>
              </w:rPr>
              <w:t>：</w:t>
            </w:r>
          </w:p>
        </w:tc>
        <w:tc>
          <w:tcPr>
            <w:tcW w:w="3694" w:type="dxa"/>
            <w:gridSpan w:val="3"/>
            <w:tcBorders>
              <w:top w:val="nil"/>
              <w:left w:val="nil"/>
              <w:bottom w:val="single" w:color="auto" w:sz="4" w:space="0"/>
              <w:right w:val="nil"/>
            </w:tcBorders>
            <w:vAlign w:val="center"/>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rPr>
              <w:t>　</w:t>
            </w:r>
          </w:p>
        </w:tc>
        <w:tc>
          <w:tcPr>
            <w:tcW w:w="288" w:type="dxa"/>
            <w:vMerge w:val="continue"/>
            <w:tcBorders>
              <w:top w:val="nil"/>
              <w:left w:val="nil"/>
              <w:bottom w:val="nil"/>
              <w:right w:val="single" w:color="auto" w:sz="4" w:space="0"/>
            </w:tcBorders>
            <w:vAlign w:val="center"/>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507" w:hRule="atLeast"/>
        </w:trPr>
        <w:tc>
          <w:tcPr>
            <w:tcW w:w="4945" w:type="dxa"/>
            <w:gridSpan w:val="3"/>
            <w:tcBorders>
              <w:top w:val="nil"/>
              <w:left w:val="single" w:color="auto" w:sz="4" w:space="0"/>
              <w:bottom w:val="single" w:color="auto" w:sz="4" w:space="0"/>
              <w:right w:val="nil"/>
            </w:tcBorders>
            <w:vAlign w:val="center"/>
          </w:tcPr>
          <w:p>
            <w:pPr>
              <w:widowControl/>
              <w:spacing w:line="360" w:lineRule="auto"/>
              <w:jc w:val="right"/>
              <w:rPr>
                <w:rFonts w:ascii="Times New Roman" w:hAnsi="Times New Roman" w:cs="Times New Roman"/>
                <w:color w:val="auto"/>
                <w:kern w:val="0"/>
                <w:szCs w:val="21"/>
              </w:rPr>
            </w:pPr>
            <w:r>
              <w:rPr>
                <w:rFonts w:ascii="Times New Roman" w:hAnsi="Times New Roman" w:cs="Times New Roman"/>
                <w:color w:val="auto"/>
                <w:kern w:val="0"/>
                <w:szCs w:val="21"/>
              </w:rPr>
              <w:t>日    期：</w:t>
            </w:r>
          </w:p>
        </w:tc>
        <w:tc>
          <w:tcPr>
            <w:tcW w:w="3694" w:type="dxa"/>
            <w:gridSpan w:val="3"/>
            <w:tcBorders>
              <w:top w:val="single" w:color="auto" w:sz="4" w:space="0"/>
              <w:left w:val="nil"/>
              <w:bottom w:val="single" w:color="auto" w:sz="4" w:space="0"/>
              <w:right w:val="nil"/>
            </w:tcBorders>
            <w:vAlign w:val="center"/>
          </w:tcPr>
          <w:p>
            <w:pPr>
              <w:widowControl/>
              <w:spacing w:line="360" w:lineRule="auto"/>
              <w:ind w:leftChars="-44" w:hanging="92" w:hangingChars="44"/>
              <w:jc w:val="left"/>
              <w:rPr>
                <w:rFonts w:ascii="Times New Roman" w:hAnsi="Times New Roman" w:cs="Times New Roman"/>
                <w:color w:val="auto"/>
                <w:kern w:val="0"/>
                <w:szCs w:val="21"/>
              </w:rPr>
            </w:pP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 xml:space="preserve">年 </w:t>
            </w: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月</w:t>
            </w: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日</w:t>
            </w:r>
          </w:p>
        </w:tc>
        <w:tc>
          <w:tcPr>
            <w:tcW w:w="288" w:type="dxa"/>
            <w:vMerge w:val="continue"/>
            <w:tcBorders>
              <w:top w:val="nil"/>
              <w:left w:val="nil"/>
              <w:bottom w:val="single" w:color="auto" w:sz="4" w:space="0"/>
              <w:right w:val="single" w:color="auto" w:sz="4" w:space="0"/>
            </w:tcBorders>
            <w:vAlign w:val="center"/>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478" w:hRule="atLeast"/>
        </w:trPr>
        <w:tc>
          <w:tcPr>
            <w:tcW w:w="8927" w:type="dxa"/>
            <w:gridSpan w:val="7"/>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Times New Roman" w:hAnsi="Times New Roman" w:cs="Times New Roman"/>
                <w:color w:val="auto"/>
                <w:kern w:val="0"/>
                <w:szCs w:val="21"/>
              </w:rPr>
            </w:pPr>
            <w:r>
              <w:rPr>
                <w:rFonts w:hint="eastAsia" w:ascii="Times New Roman" w:hAnsi="Times New Roman" w:cs="Times New Roman"/>
                <w:color w:val="auto"/>
                <w:kern w:val="0"/>
                <w:szCs w:val="21"/>
              </w:rPr>
              <w:t>施工单位签署意见：</w:t>
            </w:r>
          </w:p>
          <w:p>
            <w:pPr>
              <w:widowControl/>
              <w:spacing w:line="360" w:lineRule="auto"/>
              <w:jc w:val="left"/>
              <w:rPr>
                <w:rFonts w:ascii="Times New Roman" w:hAnsi="Times New Roman" w:cs="Times New Roman"/>
                <w:color w:val="auto"/>
                <w:kern w:val="0"/>
                <w:szCs w:val="21"/>
              </w:rPr>
            </w:pPr>
          </w:p>
          <w:p>
            <w:pPr>
              <w:widowControl/>
              <w:spacing w:line="360" w:lineRule="auto"/>
              <w:jc w:val="left"/>
              <w:rPr>
                <w:rFonts w:ascii="Times New Roman" w:hAnsi="Times New Roman" w:cs="Times New Roman"/>
                <w:color w:val="auto"/>
                <w:kern w:val="0"/>
                <w:szCs w:val="21"/>
              </w:rPr>
            </w:pPr>
          </w:p>
          <w:p>
            <w:pPr>
              <w:widowControl/>
              <w:spacing w:line="360" w:lineRule="auto"/>
              <w:jc w:val="center"/>
              <w:rPr>
                <w:rFonts w:ascii="Times New Roman" w:hAnsi="Times New Roman" w:cs="Times New Roman"/>
                <w:color w:val="auto"/>
                <w:kern w:val="0"/>
                <w:szCs w:val="21"/>
              </w:rPr>
            </w:pPr>
            <w:r>
              <w:rPr>
                <w:rFonts w:hint="eastAsia" w:ascii="Times New Roman" w:hAnsi="Times New Roman" w:cs="Times New Roman"/>
                <w:color w:val="auto"/>
                <w:kern w:val="0"/>
                <w:szCs w:val="21"/>
              </w:rPr>
              <w:t>施工单位（盖章）：</w:t>
            </w:r>
          </w:p>
          <w:p>
            <w:pPr>
              <w:widowControl/>
              <w:spacing w:line="360" w:lineRule="auto"/>
              <w:jc w:val="center"/>
              <w:rPr>
                <w:rFonts w:ascii="Times New Roman" w:hAnsi="Times New Roman" w:cs="Times New Roman"/>
                <w:color w:val="auto"/>
                <w:kern w:val="0"/>
                <w:szCs w:val="21"/>
              </w:rPr>
            </w:pPr>
            <w:r>
              <w:rPr>
                <w:rFonts w:hint="eastAsia" w:ascii="Times New Roman" w:hAnsi="Times New Roman" w:cs="Times New Roman"/>
                <w:color w:val="auto"/>
                <w:kern w:val="0"/>
                <w:szCs w:val="21"/>
              </w:rPr>
              <w:t>项目经理（签字）：</w:t>
            </w:r>
          </w:p>
          <w:p>
            <w:pPr>
              <w:widowControl/>
              <w:spacing w:line="360" w:lineRule="auto"/>
              <w:jc w:val="center"/>
              <w:rPr>
                <w:rFonts w:ascii="Times New Roman" w:hAnsi="Times New Roman" w:cs="Times New Roman"/>
                <w:color w:val="auto"/>
                <w:kern w:val="0"/>
                <w:szCs w:val="21"/>
              </w:rPr>
            </w:pPr>
            <w:r>
              <w:rPr>
                <w:rFonts w:hint="eastAsia" w:ascii="Times New Roman" w:hAnsi="Times New Roman" w:cs="Times New Roman"/>
                <w:color w:val="auto"/>
                <w:kern w:val="0"/>
                <w:szCs w:val="21"/>
              </w:rPr>
              <w:t xml:space="preserve">            日期：</w:t>
            </w: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 xml:space="preserve">年 </w:t>
            </w: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月</w:t>
            </w: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日</w:t>
            </w:r>
          </w:p>
        </w:tc>
      </w:tr>
    </w:tbl>
    <w:p>
      <w:pPr>
        <w:pStyle w:val="15"/>
        <w:spacing w:after="312" w:afterLines="100" w:line="360" w:lineRule="auto"/>
        <w:ind w:left="545"/>
        <w:jc w:val="center"/>
        <w:rPr>
          <w:rFonts w:ascii="Times New Roman" w:hAnsi="Times New Roman" w:cs="Times New Roman"/>
          <w:color w:val="auto"/>
          <w:szCs w:val="21"/>
        </w:rPr>
        <w:sectPr>
          <w:pgSz w:w="11906" w:h="16838"/>
          <w:pgMar w:top="1440" w:right="1440" w:bottom="1440" w:left="1440" w:header="851" w:footer="992" w:gutter="0"/>
          <w:cols w:space="720" w:num="1"/>
          <w:docGrid w:type="lines" w:linePitch="312" w:charSpace="0"/>
        </w:sectPr>
      </w:pPr>
    </w:p>
    <w:p>
      <w:pPr>
        <w:pStyle w:val="138"/>
        <w:numPr>
          <w:ilvl w:val="2"/>
          <w:numId w:val="23"/>
        </w:numPr>
        <w:spacing w:before="156" w:after="156" w:line="360" w:lineRule="auto"/>
        <w:jc w:val="center"/>
        <w:outlineLvl w:val="2"/>
        <w:rPr>
          <w:rFonts w:ascii="Times New Roman"/>
          <w:color w:val="auto"/>
          <w:kern w:val="10"/>
          <w:sz w:val="24"/>
          <w:szCs w:val="24"/>
        </w:rPr>
      </w:pPr>
      <w:r>
        <w:rPr>
          <w:rFonts w:ascii="Times New Roman"/>
          <w:color w:val="auto"/>
          <w:kern w:val="10"/>
          <w:sz w:val="24"/>
          <w:szCs w:val="24"/>
        </w:rPr>
        <w:t>停工通知单</w:t>
      </w:r>
    </w:p>
    <w:tbl>
      <w:tblPr>
        <w:tblStyle w:val="45"/>
        <w:tblW w:w="8938" w:type="dxa"/>
        <w:tblInd w:w="108" w:type="dxa"/>
        <w:tblLayout w:type="fixed"/>
        <w:tblCellMar>
          <w:top w:w="0" w:type="dxa"/>
          <w:left w:w="108" w:type="dxa"/>
          <w:bottom w:w="0" w:type="dxa"/>
          <w:right w:w="108" w:type="dxa"/>
        </w:tblCellMar>
      </w:tblPr>
      <w:tblGrid>
        <w:gridCol w:w="236"/>
        <w:gridCol w:w="729"/>
        <w:gridCol w:w="111"/>
        <w:gridCol w:w="1192"/>
        <w:gridCol w:w="482"/>
        <w:gridCol w:w="407"/>
        <w:gridCol w:w="407"/>
        <w:gridCol w:w="219"/>
        <w:gridCol w:w="188"/>
        <w:gridCol w:w="409"/>
        <w:gridCol w:w="1007"/>
        <w:gridCol w:w="142"/>
        <w:gridCol w:w="425"/>
        <w:gridCol w:w="403"/>
        <w:gridCol w:w="420"/>
        <w:gridCol w:w="1476"/>
        <w:gridCol w:w="394"/>
        <w:gridCol w:w="284"/>
        <w:gridCol w:w="7"/>
      </w:tblGrid>
      <w:tr>
        <w:tblPrEx>
          <w:tblLayout w:type="fixed"/>
          <w:tblCellMar>
            <w:top w:w="0" w:type="dxa"/>
            <w:left w:w="108" w:type="dxa"/>
            <w:bottom w:w="0" w:type="dxa"/>
            <w:right w:w="108" w:type="dxa"/>
          </w:tblCellMar>
        </w:tblPrEx>
        <w:trPr>
          <w:gridAfter w:val="1"/>
          <w:wAfter w:w="7" w:type="dxa"/>
          <w:trHeight w:val="85" w:hRule="atLeast"/>
        </w:trPr>
        <w:tc>
          <w:tcPr>
            <w:tcW w:w="5954" w:type="dxa"/>
            <w:gridSpan w:val="13"/>
            <w:vAlign w:val="bottom"/>
          </w:tcPr>
          <w:p>
            <w:pPr>
              <w:widowControl/>
              <w:spacing w:line="360" w:lineRule="auto"/>
              <w:jc w:val="left"/>
              <w:rPr>
                <w:rFonts w:ascii="Times New Roman" w:hAnsi="Times New Roman" w:cs="Times New Roman"/>
                <w:color w:val="auto"/>
                <w:kern w:val="0"/>
                <w:szCs w:val="21"/>
              </w:rPr>
            </w:pPr>
          </w:p>
        </w:tc>
        <w:tc>
          <w:tcPr>
            <w:tcW w:w="823" w:type="dxa"/>
            <w:gridSpan w:val="2"/>
            <w:vAlign w:val="center"/>
          </w:tcPr>
          <w:p>
            <w:pPr>
              <w:widowControl/>
              <w:spacing w:line="360" w:lineRule="auto"/>
              <w:rPr>
                <w:rFonts w:ascii="Times New Roman" w:hAnsi="Times New Roman" w:cs="Times New Roman"/>
                <w:color w:val="auto"/>
                <w:kern w:val="0"/>
                <w:szCs w:val="21"/>
              </w:rPr>
            </w:pPr>
            <w:r>
              <w:rPr>
                <w:rFonts w:ascii="Times New Roman" w:hAnsi="Times New Roman" w:cs="Times New Roman"/>
                <w:color w:val="auto"/>
                <w:kern w:val="0"/>
                <w:szCs w:val="21"/>
              </w:rPr>
              <w:t>编号：</w:t>
            </w:r>
          </w:p>
        </w:tc>
        <w:tc>
          <w:tcPr>
            <w:tcW w:w="2154" w:type="dxa"/>
            <w:gridSpan w:val="3"/>
            <w:vAlign w:val="center"/>
          </w:tcPr>
          <w:p>
            <w:pPr>
              <w:widowControl/>
              <w:spacing w:line="360" w:lineRule="auto"/>
              <w:jc w:val="center"/>
              <w:rPr>
                <w:rFonts w:ascii="Times New Roman" w:hAnsi="Times New Roman" w:cs="Times New Roman"/>
                <w:color w:val="auto"/>
                <w:kern w:val="0"/>
                <w:szCs w:val="21"/>
              </w:rPr>
            </w:pPr>
            <w:r>
              <w:rPr>
                <w:rFonts w:ascii="Times New Roman" w:hAnsi="Times New Roman" w:eastAsia="DotumChe" w:cs="Times New Roman"/>
                <w:color w:val="auto"/>
                <w:kern w:val="0"/>
                <w:sz w:val="20"/>
                <w:szCs w:val="21"/>
              </w:rPr>
              <w:t>XXXXXX</w:t>
            </w:r>
          </w:p>
        </w:tc>
      </w:tr>
      <w:tr>
        <w:tblPrEx>
          <w:tblLayout w:type="fixed"/>
          <w:tblCellMar>
            <w:top w:w="0" w:type="dxa"/>
            <w:left w:w="108" w:type="dxa"/>
            <w:bottom w:w="0" w:type="dxa"/>
            <w:right w:w="108" w:type="dxa"/>
          </w:tblCellMar>
        </w:tblPrEx>
        <w:trPr>
          <w:trHeight w:val="717" w:hRule="atLeast"/>
        </w:trPr>
        <w:tc>
          <w:tcPr>
            <w:tcW w:w="2268"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Times New Roman" w:hAnsi="Times New Roman" w:cs="Times New Roman"/>
                <w:color w:val="auto"/>
                <w:kern w:val="0"/>
                <w:szCs w:val="21"/>
              </w:rPr>
            </w:pPr>
            <w:r>
              <w:rPr>
                <w:rFonts w:ascii="Times New Roman" w:hAnsi="Times New Roman" w:cs="Times New Roman"/>
                <w:color w:val="auto"/>
                <w:kern w:val="0"/>
                <w:szCs w:val="21"/>
              </w:rPr>
              <w:t>工程名称</w:t>
            </w:r>
          </w:p>
        </w:tc>
        <w:tc>
          <w:tcPr>
            <w:tcW w:w="6670" w:type="dxa"/>
            <w:gridSpan w:val="15"/>
            <w:tcBorders>
              <w:top w:val="single" w:color="auto" w:sz="4" w:space="0"/>
              <w:left w:val="nil"/>
              <w:bottom w:val="single" w:color="auto" w:sz="4" w:space="0"/>
              <w:right w:val="single" w:color="auto" w:sz="4" w:space="0"/>
            </w:tcBorders>
            <w:vAlign w:val="center"/>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rPr>
              <w:t>　</w:t>
            </w:r>
          </w:p>
        </w:tc>
      </w:tr>
      <w:tr>
        <w:tblPrEx>
          <w:tblLayout w:type="fixed"/>
          <w:tblCellMar>
            <w:top w:w="0" w:type="dxa"/>
            <w:left w:w="108" w:type="dxa"/>
            <w:bottom w:w="0" w:type="dxa"/>
            <w:right w:w="108" w:type="dxa"/>
          </w:tblCellMar>
        </w:tblPrEx>
        <w:trPr>
          <w:trHeight w:val="574" w:hRule="atLeast"/>
        </w:trPr>
        <w:tc>
          <w:tcPr>
            <w:tcW w:w="965" w:type="dxa"/>
            <w:gridSpan w:val="2"/>
            <w:tcBorders>
              <w:top w:val="nil"/>
              <w:left w:val="single" w:color="auto" w:sz="4" w:space="0"/>
              <w:bottom w:val="nil"/>
              <w:right w:val="nil"/>
            </w:tcBorders>
            <w:vAlign w:val="bottom"/>
          </w:tcPr>
          <w:p>
            <w:pPr>
              <w:widowControl/>
              <w:spacing w:line="360" w:lineRule="auto"/>
              <w:jc w:val="right"/>
              <w:rPr>
                <w:rFonts w:ascii="Times New Roman" w:hAnsi="Times New Roman" w:cs="Times New Roman"/>
                <w:color w:val="auto"/>
                <w:kern w:val="0"/>
                <w:szCs w:val="21"/>
              </w:rPr>
            </w:pPr>
            <w:r>
              <w:rPr>
                <w:rFonts w:ascii="Times New Roman" w:hAnsi="Times New Roman" w:cs="Times New Roman"/>
                <w:color w:val="auto"/>
                <w:kern w:val="0"/>
                <w:szCs w:val="21"/>
              </w:rPr>
              <w:t>致</w:t>
            </w:r>
          </w:p>
        </w:tc>
        <w:tc>
          <w:tcPr>
            <w:tcW w:w="4422" w:type="dxa"/>
            <w:gridSpan w:val="9"/>
            <w:tcBorders>
              <w:top w:val="nil"/>
              <w:left w:val="nil"/>
              <w:right w:val="nil"/>
            </w:tcBorders>
            <w:vAlign w:val="bottom"/>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u w:val="single"/>
              </w:rPr>
              <w:t xml:space="preserve">  </w:t>
            </w:r>
            <w:r>
              <w:rPr>
                <w:rFonts w:hint="eastAsia" w:ascii="Times New Roman" w:hAnsi="Times New Roman" w:cs="Times New Roman"/>
                <w:color w:val="auto"/>
                <w:kern w:val="0"/>
                <w:szCs w:val="21"/>
                <w:u w:val="single"/>
              </w:rPr>
              <w:t>（施工单位）</w:t>
            </w:r>
            <w:r>
              <w:rPr>
                <w:rFonts w:ascii="Times New Roman" w:hAnsi="Times New Roman" w:cs="Times New Roman"/>
                <w:color w:val="auto"/>
                <w:kern w:val="0"/>
                <w:szCs w:val="21"/>
                <w:u w:val="single"/>
              </w:rPr>
              <w:t xml:space="preserve">                                       </w:t>
            </w:r>
          </w:p>
        </w:tc>
        <w:tc>
          <w:tcPr>
            <w:tcW w:w="3551" w:type="dxa"/>
            <w:gridSpan w:val="8"/>
            <w:tcBorders>
              <w:top w:val="nil"/>
              <w:left w:val="nil"/>
              <w:bottom w:val="nil"/>
              <w:right w:val="single" w:color="000000" w:sz="4" w:space="0"/>
            </w:tcBorders>
            <w:vAlign w:val="bottom"/>
          </w:tcPr>
          <w:p>
            <w:pPr>
              <w:widowControl/>
              <w:spacing w:line="360" w:lineRule="auto"/>
              <w:jc w:val="left"/>
              <w:rPr>
                <w:rFonts w:ascii="Times New Roman" w:hAnsi="Times New Roman" w:cs="Times New Roman"/>
                <w:color w:val="auto"/>
                <w:kern w:val="0"/>
                <w:szCs w:val="21"/>
              </w:rPr>
            </w:pPr>
            <w:r>
              <w:rPr>
                <w:rFonts w:hint="eastAsia" w:ascii="Times New Roman" w:hAnsi="Times New Roman" w:cs="Times New Roman"/>
                <w:color w:val="auto"/>
                <w:kern w:val="0"/>
                <w:szCs w:val="21"/>
              </w:rPr>
              <w:t>：</w:t>
            </w:r>
          </w:p>
        </w:tc>
      </w:tr>
      <w:tr>
        <w:tblPrEx>
          <w:tblLayout w:type="fixed"/>
          <w:tblCellMar>
            <w:top w:w="0" w:type="dxa"/>
            <w:left w:w="108" w:type="dxa"/>
            <w:bottom w:w="0" w:type="dxa"/>
            <w:right w:w="108" w:type="dxa"/>
          </w:tblCellMar>
        </w:tblPrEx>
        <w:trPr>
          <w:trHeight w:val="562" w:hRule="atLeast"/>
        </w:trPr>
        <w:tc>
          <w:tcPr>
            <w:tcW w:w="965" w:type="dxa"/>
            <w:gridSpan w:val="2"/>
            <w:tcBorders>
              <w:left w:val="single" w:color="auto" w:sz="4" w:space="0"/>
              <w:bottom w:val="nil"/>
              <w:right w:val="nil"/>
            </w:tcBorders>
            <w:vAlign w:val="bottom"/>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rPr>
              <w:t>　 抄送</w:t>
            </w:r>
          </w:p>
        </w:tc>
        <w:tc>
          <w:tcPr>
            <w:tcW w:w="4422" w:type="dxa"/>
            <w:gridSpan w:val="9"/>
            <w:tcBorders>
              <w:left w:val="nil"/>
              <w:right w:val="nil"/>
            </w:tcBorders>
            <w:vAlign w:val="bottom"/>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u w:val="single"/>
              </w:rPr>
              <w:t xml:space="preserve">  </w:t>
            </w:r>
            <w:r>
              <w:rPr>
                <w:rFonts w:hint="eastAsia" w:ascii="Times New Roman" w:hAnsi="Times New Roman" w:cs="Times New Roman"/>
                <w:color w:val="auto"/>
                <w:kern w:val="0"/>
                <w:szCs w:val="21"/>
                <w:u w:val="single"/>
              </w:rPr>
              <w:t>（土壤污染修复责任主体）</w:t>
            </w:r>
            <w:r>
              <w:rPr>
                <w:rFonts w:ascii="Times New Roman" w:hAnsi="Times New Roman" w:cs="Times New Roman"/>
                <w:color w:val="auto"/>
                <w:kern w:val="0"/>
                <w:szCs w:val="21"/>
                <w:u w:val="single"/>
              </w:rPr>
              <w:t xml:space="preserve">                                     </w:t>
            </w:r>
          </w:p>
        </w:tc>
        <w:tc>
          <w:tcPr>
            <w:tcW w:w="3551" w:type="dxa"/>
            <w:gridSpan w:val="8"/>
            <w:tcBorders>
              <w:top w:val="nil"/>
              <w:left w:val="nil"/>
              <w:bottom w:val="nil"/>
              <w:right w:val="single" w:color="auto" w:sz="4" w:space="0"/>
            </w:tcBorders>
            <w:vAlign w:val="bottom"/>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gridAfter w:val="1"/>
          <w:wAfter w:w="7" w:type="dxa"/>
          <w:trHeight w:val="574" w:hRule="atLeast"/>
        </w:trPr>
        <w:tc>
          <w:tcPr>
            <w:tcW w:w="1076" w:type="dxa"/>
            <w:gridSpan w:val="3"/>
            <w:tcBorders>
              <w:top w:val="nil"/>
              <w:left w:val="single" w:color="auto" w:sz="4" w:space="0"/>
              <w:right w:val="nil"/>
            </w:tcBorders>
            <w:vAlign w:val="bottom"/>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rPr>
              <w:t xml:space="preserve">   事由：</w:t>
            </w:r>
          </w:p>
        </w:tc>
        <w:tc>
          <w:tcPr>
            <w:tcW w:w="5281" w:type="dxa"/>
            <w:gridSpan w:val="11"/>
            <w:tcBorders>
              <w:top w:val="nil"/>
              <w:left w:val="nil"/>
              <w:right w:val="nil"/>
            </w:tcBorders>
            <w:vAlign w:val="bottom"/>
          </w:tcPr>
          <w:p>
            <w:pPr>
              <w:widowControl/>
              <w:spacing w:line="360" w:lineRule="auto"/>
              <w:jc w:val="left"/>
              <w:rPr>
                <w:rFonts w:ascii="Times New Roman" w:hAnsi="Times New Roman" w:cs="Times New Roman"/>
                <w:color w:val="auto"/>
                <w:kern w:val="0"/>
                <w:szCs w:val="21"/>
              </w:rPr>
            </w:pPr>
          </w:p>
        </w:tc>
        <w:tc>
          <w:tcPr>
            <w:tcW w:w="2290" w:type="dxa"/>
            <w:gridSpan w:val="3"/>
            <w:tcBorders>
              <w:top w:val="nil"/>
              <w:left w:val="nil"/>
              <w:right w:val="nil"/>
            </w:tcBorders>
            <w:vAlign w:val="bottom"/>
          </w:tcPr>
          <w:p>
            <w:pPr>
              <w:widowControl/>
              <w:spacing w:line="360" w:lineRule="auto"/>
              <w:jc w:val="left"/>
              <w:rPr>
                <w:rFonts w:ascii="Times New Roman" w:hAnsi="Times New Roman" w:cs="Times New Roman"/>
                <w:color w:val="auto"/>
                <w:kern w:val="0"/>
                <w:szCs w:val="21"/>
              </w:rPr>
            </w:pPr>
          </w:p>
        </w:tc>
        <w:tc>
          <w:tcPr>
            <w:tcW w:w="284" w:type="dxa"/>
            <w:tcBorders>
              <w:top w:val="nil"/>
              <w:left w:val="nil"/>
              <w:bottom w:val="nil"/>
              <w:right w:val="single" w:color="000000" w:sz="4" w:space="0"/>
            </w:tcBorders>
            <w:vAlign w:val="bottom"/>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gridAfter w:val="1"/>
          <w:wAfter w:w="7" w:type="dxa"/>
          <w:trHeight w:val="506" w:hRule="atLeast"/>
        </w:trPr>
        <w:tc>
          <w:tcPr>
            <w:tcW w:w="2750" w:type="dxa"/>
            <w:gridSpan w:val="5"/>
            <w:vMerge w:val="restart"/>
            <w:tcBorders>
              <w:top w:val="nil"/>
              <w:left w:val="single" w:color="auto" w:sz="4" w:space="0"/>
              <w:right w:val="nil"/>
            </w:tcBorders>
            <w:vAlign w:val="center"/>
          </w:tcPr>
          <w:p>
            <w:pPr>
              <w:widowControl/>
              <w:spacing w:before="262" w:beforeLines="84"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rPr>
              <w:t>原因，现通知你方必须于</w:t>
            </w:r>
          </w:p>
        </w:tc>
        <w:tc>
          <w:tcPr>
            <w:tcW w:w="407" w:type="dxa"/>
            <w:vMerge w:val="restart"/>
            <w:tcBorders>
              <w:top w:val="nil"/>
              <w:left w:val="nil"/>
              <w:right w:val="nil"/>
            </w:tcBorders>
            <w:vAlign w:val="center"/>
          </w:tcPr>
          <w:p>
            <w:pPr>
              <w:widowControl/>
              <w:spacing w:before="262" w:beforeLines="84" w:line="360" w:lineRule="auto"/>
              <w:ind w:right="-204" w:rightChars="-97"/>
              <w:jc w:val="left"/>
              <w:rPr>
                <w:rFonts w:ascii="Times New Roman" w:hAnsi="Times New Roman" w:cs="Times New Roman"/>
                <w:color w:val="auto"/>
                <w:kern w:val="0"/>
                <w:szCs w:val="21"/>
                <w:u w:val="single"/>
              </w:rPr>
            </w:pPr>
            <w:r>
              <w:rPr>
                <w:rFonts w:ascii="Times New Roman" w:hAnsi="Times New Roman" w:cs="Times New Roman"/>
                <w:color w:val="auto"/>
                <w:kern w:val="0"/>
                <w:szCs w:val="21"/>
                <w:u w:val="single"/>
              </w:rPr>
              <w:t xml:space="preserve"> </w:t>
            </w:r>
            <w:r>
              <w:rPr>
                <w:rFonts w:hint="eastAsia" w:ascii="Times New Roman" w:hAnsi="Times New Roman" w:cs="Times New Roman"/>
                <w:color w:val="auto"/>
                <w:kern w:val="0"/>
                <w:szCs w:val="21"/>
                <w:u w:val="single"/>
              </w:rPr>
              <w:t xml:space="preserve">  </w:t>
            </w:r>
            <w:r>
              <w:rPr>
                <w:rFonts w:ascii="Times New Roman" w:hAnsi="Times New Roman" w:cs="Times New Roman"/>
                <w:color w:val="auto"/>
                <w:kern w:val="0"/>
                <w:szCs w:val="21"/>
                <w:u w:val="single"/>
              </w:rPr>
              <w:t xml:space="preserve">  </w:t>
            </w:r>
          </w:p>
        </w:tc>
        <w:tc>
          <w:tcPr>
            <w:tcW w:w="407" w:type="dxa"/>
            <w:vMerge w:val="restart"/>
            <w:vAlign w:val="center"/>
          </w:tcPr>
          <w:p>
            <w:pPr>
              <w:widowControl/>
              <w:spacing w:before="262" w:beforeLines="84"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rPr>
              <w:t>年</w:t>
            </w:r>
          </w:p>
        </w:tc>
        <w:tc>
          <w:tcPr>
            <w:tcW w:w="407" w:type="dxa"/>
            <w:gridSpan w:val="2"/>
            <w:vMerge w:val="restart"/>
            <w:tcBorders>
              <w:top w:val="nil"/>
              <w:left w:val="nil"/>
              <w:right w:val="nil"/>
            </w:tcBorders>
            <w:vAlign w:val="center"/>
          </w:tcPr>
          <w:p>
            <w:pPr>
              <w:widowControl/>
              <w:spacing w:before="262" w:beforeLines="84" w:line="360" w:lineRule="auto"/>
              <w:ind w:right="-246" w:rightChars="-117"/>
              <w:jc w:val="left"/>
              <w:rPr>
                <w:rFonts w:ascii="Times New Roman" w:hAnsi="Times New Roman" w:cs="Times New Roman"/>
                <w:color w:val="auto"/>
                <w:kern w:val="0"/>
                <w:szCs w:val="21"/>
                <w:u w:val="single"/>
              </w:rPr>
            </w:pPr>
            <w:r>
              <w:rPr>
                <w:rFonts w:ascii="Times New Roman" w:hAnsi="Times New Roman" w:cs="Times New Roman"/>
                <w:color w:val="auto"/>
                <w:kern w:val="0"/>
                <w:szCs w:val="21"/>
                <w:u w:val="single"/>
              </w:rPr>
              <w:t xml:space="preserve">    </w:t>
            </w:r>
          </w:p>
        </w:tc>
        <w:tc>
          <w:tcPr>
            <w:tcW w:w="409" w:type="dxa"/>
            <w:vMerge w:val="restart"/>
            <w:vAlign w:val="center"/>
          </w:tcPr>
          <w:p>
            <w:pPr>
              <w:widowControl/>
              <w:spacing w:before="262" w:beforeLines="84"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rPr>
              <w:t>月</w:t>
            </w:r>
          </w:p>
        </w:tc>
        <w:tc>
          <w:tcPr>
            <w:tcW w:w="1149" w:type="dxa"/>
            <w:gridSpan w:val="2"/>
            <w:vMerge w:val="restart"/>
            <w:tcBorders>
              <w:top w:val="nil"/>
              <w:left w:val="nil"/>
              <w:right w:val="nil"/>
            </w:tcBorders>
            <w:vAlign w:val="center"/>
          </w:tcPr>
          <w:p>
            <w:pPr>
              <w:widowControl/>
              <w:spacing w:before="262" w:beforeLines="84" w:line="360" w:lineRule="auto"/>
              <w:ind w:right="-132" w:rightChars="-63"/>
              <w:jc w:val="left"/>
              <w:rPr>
                <w:rFonts w:ascii="Times New Roman" w:hAnsi="Times New Roman" w:cs="Times New Roman"/>
                <w:color w:val="auto"/>
                <w:kern w:val="0"/>
                <w:szCs w:val="21"/>
                <w:u w:val="single"/>
              </w:rPr>
            </w:pPr>
            <w:r>
              <w:rPr>
                <w:rFonts w:ascii="Times New Roman" w:hAnsi="Times New Roman" w:cs="Times New Roman"/>
                <w:color w:val="auto"/>
                <w:kern w:val="0"/>
                <w:szCs w:val="21"/>
                <w:u w:val="single"/>
              </w:rPr>
              <w:t xml:space="preserve">  </w:t>
            </w:r>
            <w:r>
              <w:rPr>
                <w:rFonts w:hint="eastAsia" w:ascii="Times New Roman" w:hAnsi="Times New Roman" w:cs="Times New Roman"/>
                <w:color w:val="auto"/>
                <w:kern w:val="0"/>
                <w:szCs w:val="21"/>
                <w:u w:val="single"/>
              </w:rPr>
              <w:t xml:space="preserve">    </w:t>
            </w:r>
            <w:r>
              <w:rPr>
                <w:rFonts w:ascii="Times New Roman" w:hAnsi="Times New Roman" w:cs="Times New Roman"/>
                <w:color w:val="auto"/>
                <w:kern w:val="0"/>
                <w:szCs w:val="21"/>
                <w:u w:val="single"/>
              </w:rPr>
              <w:t xml:space="preserve"> </w:t>
            </w:r>
          </w:p>
        </w:tc>
        <w:tc>
          <w:tcPr>
            <w:tcW w:w="425" w:type="dxa"/>
            <w:vMerge w:val="restart"/>
            <w:vAlign w:val="center"/>
          </w:tcPr>
          <w:p>
            <w:pPr>
              <w:widowControl/>
              <w:spacing w:before="262" w:beforeLines="84"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rPr>
              <w:t>日</w:t>
            </w:r>
          </w:p>
        </w:tc>
        <w:tc>
          <w:tcPr>
            <w:tcW w:w="403" w:type="dxa"/>
            <w:vMerge w:val="restart"/>
            <w:tcBorders>
              <w:top w:val="nil"/>
              <w:left w:val="nil"/>
              <w:right w:val="nil"/>
            </w:tcBorders>
            <w:vAlign w:val="center"/>
          </w:tcPr>
          <w:p>
            <w:pPr>
              <w:widowControl/>
              <w:spacing w:before="262" w:beforeLines="84" w:line="360" w:lineRule="auto"/>
              <w:ind w:right="-300" w:rightChars="-143"/>
              <w:jc w:val="left"/>
              <w:rPr>
                <w:rFonts w:ascii="Times New Roman" w:hAnsi="Times New Roman" w:cs="Times New Roman"/>
                <w:color w:val="auto"/>
                <w:kern w:val="0"/>
                <w:szCs w:val="21"/>
                <w:u w:val="single"/>
              </w:rPr>
            </w:pPr>
            <w:r>
              <w:rPr>
                <w:rFonts w:ascii="Times New Roman" w:hAnsi="Times New Roman" w:cs="Times New Roman"/>
                <w:color w:val="auto"/>
                <w:kern w:val="0"/>
                <w:szCs w:val="21"/>
                <w:u w:val="single"/>
              </w:rPr>
              <w:t xml:space="preserve">    </w:t>
            </w:r>
          </w:p>
        </w:tc>
        <w:tc>
          <w:tcPr>
            <w:tcW w:w="1896" w:type="dxa"/>
            <w:gridSpan w:val="2"/>
            <w:vMerge w:val="restart"/>
            <w:vAlign w:val="center"/>
          </w:tcPr>
          <w:p>
            <w:pPr>
              <w:widowControl/>
              <w:spacing w:before="262" w:beforeLines="84" w:line="360" w:lineRule="auto"/>
              <w:ind w:right="-86" w:rightChars="-41"/>
              <w:jc w:val="left"/>
              <w:rPr>
                <w:rFonts w:ascii="Times New Roman" w:hAnsi="Times New Roman" w:cs="Times New Roman"/>
                <w:color w:val="auto"/>
                <w:kern w:val="0"/>
                <w:szCs w:val="21"/>
              </w:rPr>
            </w:pPr>
            <w:r>
              <w:rPr>
                <w:rFonts w:ascii="Times New Roman" w:hAnsi="Times New Roman" w:cs="Times New Roman"/>
                <w:color w:val="auto"/>
                <w:kern w:val="0"/>
                <w:szCs w:val="21"/>
                <w:lang w:bidi="ar"/>
              </w:rPr>
              <w:t>时起，对本工程的</w:t>
            </w:r>
          </w:p>
        </w:tc>
        <w:tc>
          <w:tcPr>
            <w:tcW w:w="394" w:type="dxa"/>
            <w:vMerge w:val="restart"/>
            <w:tcBorders>
              <w:top w:val="nil"/>
              <w:left w:val="nil"/>
              <w:right w:val="nil"/>
            </w:tcBorders>
            <w:vAlign w:val="center"/>
          </w:tcPr>
          <w:p>
            <w:pPr>
              <w:widowControl/>
              <w:spacing w:before="262" w:beforeLines="84" w:line="360" w:lineRule="auto"/>
              <w:ind w:left="48" w:leftChars="-45" w:right="55" w:rightChars="26" w:hanging="142" w:hangingChars="68"/>
              <w:jc w:val="left"/>
              <w:rPr>
                <w:rFonts w:ascii="Times New Roman" w:hAnsi="Times New Roman" w:cs="Times New Roman"/>
                <w:color w:val="auto"/>
                <w:kern w:val="0"/>
                <w:szCs w:val="21"/>
                <w:u w:val="single"/>
                <w:lang w:bidi="ar"/>
              </w:rPr>
            </w:pPr>
            <w:r>
              <w:rPr>
                <w:rFonts w:ascii="Times New Roman" w:hAnsi="Times New Roman" w:cs="Times New Roman"/>
                <w:color w:val="auto"/>
                <w:kern w:val="0"/>
                <w:szCs w:val="21"/>
                <w:u w:val="single"/>
                <w:lang w:bidi="ar"/>
              </w:rPr>
              <w:t xml:space="preserve">  </w:t>
            </w:r>
          </w:p>
        </w:tc>
        <w:tc>
          <w:tcPr>
            <w:tcW w:w="284" w:type="dxa"/>
            <w:vMerge w:val="restart"/>
            <w:tcBorders>
              <w:top w:val="nil"/>
              <w:left w:val="nil"/>
              <w:bottom w:val="nil"/>
              <w:right w:val="single" w:color="000000" w:sz="4" w:space="0"/>
            </w:tcBorders>
            <w:vAlign w:val="center"/>
          </w:tcPr>
          <w:p>
            <w:pPr>
              <w:widowControl/>
              <w:spacing w:before="262" w:beforeLines="84" w:line="360" w:lineRule="auto"/>
              <w:ind w:left="29" w:leftChars="-103" w:right="-225" w:rightChars="-107" w:hanging="245" w:hangingChars="117"/>
              <w:jc w:val="left"/>
              <w:rPr>
                <w:rFonts w:ascii="Times New Roman" w:hAnsi="Times New Roman" w:cs="Times New Roman"/>
                <w:color w:val="auto"/>
                <w:kern w:val="0"/>
                <w:szCs w:val="21"/>
                <w:lang w:bidi="ar"/>
              </w:rPr>
            </w:pPr>
          </w:p>
        </w:tc>
      </w:tr>
      <w:tr>
        <w:tblPrEx>
          <w:tblLayout w:type="fixed"/>
          <w:tblCellMar>
            <w:top w:w="0" w:type="dxa"/>
            <w:left w:w="108" w:type="dxa"/>
            <w:bottom w:w="0" w:type="dxa"/>
            <w:right w:w="108" w:type="dxa"/>
          </w:tblCellMar>
        </w:tblPrEx>
        <w:trPr>
          <w:gridAfter w:val="1"/>
          <w:wAfter w:w="7" w:type="dxa"/>
          <w:trHeight w:val="468" w:hRule="atLeast"/>
        </w:trPr>
        <w:tc>
          <w:tcPr>
            <w:tcW w:w="2750" w:type="dxa"/>
            <w:gridSpan w:val="5"/>
            <w:vMerge w:val="continue"/>
            <w:tcBorders>
              <w:top w:val="nil"/>
              <w:left w:val="single" w:color="auto" w:sz="4" w:space="0"/>
              <w:right w:val="nil"/>
            </w:tcBorders>
            <w:vAlign w:val="center"/>
          </w:tcPr>
          <w:p>
            <w:pPr>
              <w:widowControl/>
              <w:spacing w:line="360" w:lineRule="auto"/>
              <w:jc w:val="left"/>
              <w:rPr>
                <w:rFonts w:ascii="Times New Roman" w:hAnsi="Times New Roman" w:cs="Times New Roman"/>
                <w:color w:val="auto"/>
                <w:kern w:val="0"/>
                <w:szCs w:val="21"/>
              </w:rPr>
            </w:pPr>
          </w:p>
        </w:tc>
        <w:tc>
          <w:tcPr>
            <w:tcW w:w="407" w:type="dxa"/>
            <w:vMerge w:val="continue"/>
            <w:tcBorders>
              <w:top w:val="nil"/>
              <w:left w:val="nil"/>
              <w:right w:val="nil"/>
            </w:tcBorders>
            <w:vAlign w:val="center"/>
          </w:tcPr>
          <w:p>
            <w:pPr>
              <w:widowControl/>
              <w:spacing w:line="360" w:lineRule="auto"/>
              <w:jc w:val="left"/>
              <w:rPr>
                <w:rFonts w:ascii="Times New Roman" w:hAnsi="Times New Roman" w:cs="Times New Roman"/>
                <w:color w:val="auto"/>
                <w:kern w:val="0"/>
                <w:szCs w:val="21"/>
              </w:rPr>
            </w:pPr>
          </w:p>
        </w:tc>
        <w:tc>
          <w:tcPr>
            <w:tcW w:w="407" w:type="dxa"/>
            <w:vMerge w:val="continue"/>
            <w:vAlign w:val="center"/>
          </w:tcPr>
          <w:p>
            <w:pPr>
              <w:widowControl/>
              <w:spacing w:line="360" w:lineRule="auto"/>
              <w:jc w:val="left"/>
              <w:rPr>
                <w:rFonts w:ascii="Times New Roman" w:hAnsi="Times New Roman" w:cs="Times New Roman"/>
                <w:color w:val="auto"/>
                <w:kern w:val="0"/>
                <w:szCs w:val="21"/>
              </w:rPr>
            </w:pPr>
          </w:p>
        </w:tc>
        <w:tc>
          <w:tcPr>
            <w:tcW w:w="407" w:type="dxa"/>
            <w:gridSpan w:val="2"/>
            <w:vMerge w:val="continue"/>
            <w:tcBorders>
              <w:top w:val="nil"/>
              <w:left w:val="nil"/>
              <w:right w:val="nil"/>
            </w:tcBorders>
            <w:vAlign w:val="center"/>
          </w:tcPr>
          <w:p>
            <w:pPr>
              <w:widowControl/>
              <w:spacing w:line="360" w:lineRule="auto"/>
              <w:jc w:val="left"/>
              <w:rPr>
                <w:rFonts w:ascii="Times New Roman" w:hAnsi="Times New Roman" w:cs="Times New Roman"/>
                <w:color w:val="auto"/>
                <w:kern w:val="0"/>
                <w:szCs w:val="21"/>
              </w:rPr>
            </w:pPr>
          </w:p>
        </w:tc>
        <w:tc>
          <w:tcPr>
            <w:tcW w:w="409" w:type="dxa"/>
            <w:vMerge w:val="continue"/>
            <w:vAlign w:val="center"/>
          </w:tcPr>
          <w:p>
            <w:pPr>
              <w:widowControl/>
              <w:spacing w:line="360" w:lineRule="auto"/>
              <w:jc w:val="left"/>
              <w:rPr>
                <w:rFonts w:ascii="Times New Roman" w:hAnsi="Times New Roman" w:cs="Times New Roman"/>
                <w:color w:val="auto"/>
                <w:kern w:val="0"/>
                <w:szCs w:val="21"/>
              </w:rPr>
            </w:pPr>
          </w:p>
        </w:tc>
        <w:tc>
          <w:tcPr>
            <w:tcW w:w="1149" w:type="dxa"/>
            <w:gridSpan w:val="2"/>
            <w:vMerge w:val="continue"/>
            <w:tcBorders>
              <w:top w:val="nil"/>
              <w:left w:val="nil"/>
              <w:right w:val="nil"/>
            </w:tcBorders>
            <w:vAlign w:val="center"/>
          </w:tcPr>
          <w:p>
            <w:pPr>
              <w:widowControl/>
              <w:spacing w:line="360" w:lineRule="auto"/>
              <w:jc w:val="left"/>
              <w:rPr>
                <w:rFonts w:ascii="Times New Roman" w:hAnsi="Times New Roman" w:cs="Times New Roman"/>
                <w:color w:val="auto"/>
                <w:kern w:val="0"/>
                <w:szCs w:val="21"/>
              </w:rPr>
            </w:pPr>
          </w:p>
        </w:tc>
        <w:tc>
          <w:tcPr>
            <w:tcW w:w="425" w:type="dxa"/>
            <w:vMerge w:val="continue"/>
            <w:vAlign w:val="center"/>
          </w:tcPr>
          <w:p>
            <w:pPr>
              <w:widowControl/>
              <w:spacing w:line="360" w:lineRule="auto"/>
              <w:jc w:val="left"/>
              <w:rPr>
                <w:rFonts w:ascii="Times New Roman" w:hAnsi="Times New Roman" w:cs="Times New Roman"/>
                <w:color w:val="auto"/>
                <w:kern w:val="0"/>
                <w:szCs w:val="21"/>
              </w:rPr>
            </w:pPr>
          </w:p>
        </w:tc>
        <w:tc>
          <w:tcPr>
            <w:tcW w:w="403" w:type="dxa"/>
            <w:vMerge w:val="continue"/>
            <w:tcBorders>
              <w:top w:val="nil"/>
              <w:left w:val="nil"/>
              <w:right w:val="nil"/>
            </w:tcBorders>
            <w:vAlign w:val="center"/>
          </w:tcPr>
          <w:p>
            <w:pPr>
              <w:widowControl/>
              <w:spacing w:line="360" w:lineRule="auto"/>
              <w:jc w:val="left"/>
              <w:rPr>
                <w:rFonts w:ascii="Times New Roman" w:hAnsi="Times New Roman" w:cs="Times New Roman"/>
                <w:color w:val="auto"/>
                <w:kern w:val="0"/>
                <w:szCs w:val="21"/>
              </w:rPr>
            </w:pPr>
          </w:p>
        </w:tc>
        <w:tc>
          <w:tcPr>
            <w:tcW w:w="1896" w:type="dxa"/>
            <w:gridSpan w:val="2"/>
            <w:vMerge w:val="continue"/>
            <w:vAlign w:val="center"/>
          </w:tcPr>
          <w:p>
            <w:pPr>
              <w:widowControl/>
              <w:spacing w:line="360" w:lineRule="auto"/>
              <w:jc w:val="left"/>
              <w:rPr>
                <w:rFonts w:ascii="Times New Roman" w:hAnsi="Times New Roman" w:cs="Times New Roman"/>
                <w:color w:val="auto"/>
                <w:kern w:val="0"/>
                <w:szCs w:val="21"/>
              </w:rPr>
            </w:pPr>
          </w:p>
        </w:tc>
        <w:tc>
          <w:tcPr>
            <w:tcW w:w="394" w:type="dxa"/>
            <w:vMerge w:val="continue"/>
            <w:tcBorders>
              <w:top w:val="nil"/>
              <w:left w:val="nil"/>
              <w:right w:val="nil"/>
            </w:tcBorders>
            <w:vAlign w:val="center"/>
          </w:tcPr>
          <w:p>
            <w:pPr>
              <w:widowControl/>
              <w:spacing w:line="360" w:lineRule="auto"/>
              <w:jc w:val="left"/>
              <w:rPr>
                <w:rFonts w:ascii="Times New Roman" w:hAnsi="Times New Roman" w:cs="Times New Roman"/>
                <w:color w:val="auto"/>
                <w:kern w:val="0"/>
                <w:szCs w:val="21"/>
                <w:lang w:bidi="ar"/>
              </w:rPr>
            </w:pPr>
          </w:p>
        </w:tc>
        <w:tc>
          <w:tcPr>
            <w:tcW w:w="284" w:type="dxa"/>
            <w:vMerge w:val="continue"/>
            <w:tcBorders>
              <w:top w:val="nil"/>
              <w:left w:val="nil"/>
              <w:bottom w:val="nil"/>
              <w:right w:val="single" w:color="000000" w:sz="4" w:space="0"/>
            </w:tcBorders>
            <w:vAlign w:val="center"/>
          </w:tcPr>
          <w:p>
            <w:pPr>
              <w:widowControl/>
              <w:spacing w:line="360" w:lineRule="auto"/>
              <w:jc w:val="left"/>
              <w:rPr>
                <w:rFonts w:ascii="Times New Roman" w:hAnsi="Times New Roman" w:cs="Times New Roman"/>
                <w:color w:val="auto"/>
                <w:kern w:val="0"/>
                <w:szCs w:val="21"/>
                <w:lang w:bidi="ar"/>
              </w:rPr>
            </w:pPr>
          </w:p>
        </w:tc>
      </w:tr>
      <w:tr>
        <w:tblPrEx>
          <w:tblLayout w:type="fixed"/>
          <w:tblCellMar>
            <w:top w:w="0" w:type="dxa"/>
            <w:left w:w="108" w:type="dxa"/>
            <w:bottom w:w="0" w:type="dxa"/>
            <w:right w:w="108" w:type="dxa"/>
          </w:tblCellMar>
        </w:tblPrEx>
        <w:trPr>
          <w:trHeight w:val="506" w:hRule="atLeast"/>
        </w:trPr>
        <w:tc>
          <w:tcPr>
            <w:tcW w:w="236" w:type="dxa"/>
            <w:vMerge w:val="restart"/>
            <w:tcBorders>
              <w:top w:val="nil"/>
              <w:left w:val="single" w:color="auto" w:sz="4" w:space="0"/>
              <w:bottom w:val="nil"/>
              <w:right w:val="nil"/>
            </w:tcBorders>
            <w:vAlign w:val="center"/>
          </w:tcPr>
          <w:p>
            <w:pPr>
              <w:widowControl/>
              <w:spacing w:line="360" w:lineRule="auto"/>
              <w:jc w:val="left"/>
              <w:rPr>
                <w:rFonts w:ascii="Times New Roman" w:hAnsi="Times New Roman" w:cs="Times New Roman"/>
                <w:color w:val="auto"/>
                <w:kern w:val="0"/>
                <w:szCs w:val="21"/>
              </w:rPr>
            </w:pPr>
          </w:p>
        </w:tc>
        <w:tc>
          <w:tcPr>
            <w:tcW w:w="3547" w:type="dxa"/>
            <w:gridSpan w:val="7"/>
            <w:vMerge w:val="restart"/>
            <w:tcBorders>
              <w:top w:val="nil"/>
              <w:left w:val="nil"/>
              <w:right w:val="nil"/>
            </w:tcBorders>
            <w:vAlign w:val="center"/>
          </w:tcPr>
          <w:p>
            <w:pPr>
              <w:widowControl/>
              <w:spacing w:line="360" w:lineRule="auto"/>
              <w:jc w:val="left"/>
              <w:rPr>
                <w:rFonts w:ascii="Times New Roman" w:hAnsi="Times New Roman" w:cs="Times New Roman"/>
                <w:color w:val="auto"/>
                <w:kern w:val="0"/>
                <w:szCs w:val="21"/>
                <w:u w:val="single"/>
              </w:rPr>
            </w:pPr>
            <w:r>
              <w:rPr>
                <w:rFonts w:ascii="Times New Roman" w:hAnsi="Times New Roman" w:cs="Times New Roman"/>
                <w:color w:val="auto"/>
                <w:kern w:val="0"/>
                <w:szCs w:val="21"/>
                <w:u w:val="single"/>
              </w:rPr>
              <w:t xml:space="preserve">                                 </w:t>
            </w:r>
          </w:p>
        </w:tc>
        <w:tc>
          <w:tcPr>
            <w:tcW w:w="5155" w:type="dxa"/>
            <w:gridSpan w:val="11"/>
            <w:vMerge w:val="restart"/>
            <w:tcBorders>
              <w:top w:val="nil"/>
              <w:left w:val="nil"/>
              <w:right w:val="single" w:color="000000" w:sz="4" w:space="0"/>
            </w:tcBorders>
            <w:vAlign w:val="center"/>
          </w:tcPr>
          <w:p>
            <w:pPr>
              <w:widowControl/>
              <w:jc w:val="left"/>
              <w:rPr>
                <w:rFonts w:ascii="Times New Roman" w:hAnsi="Times New Roman" w:cs="Times New Roman"/>
                <w:color w:val="auto"/>
                <w:kern w:val="0"/>
                <w:szCs w:val="21"/>
              </w:rPr>
            </w:pPr>
            <w:r>
              <w:rPr>
                <w:rFonts w:ascii="Times New Roman" w:hAnsi="Times New Roman" w:cs="Times New Roman"/>
                <w:color w:val="auto"/>
                <w:kern w:val="0"/>
                <w:szCs w:val="21"/>
                <w:lang w:bidi="ar"/>
              </w:rPr>
              <w:t>部位（工序）实施暂停施工，并按下述要求</w:t>
            </w:r>
          </w:p>
        </w:tc>
      </w:tr>
      <w:tr>
        <w:tblPrEx>
          <w:tblLayout w:type="fixed"/>
          <w:tblCellMar>
            <w:top w:w="0" w:type="dxa"/>
            <w:left w:w="108" w:type="dxa"/>
            <w:bottom w:w="0" w:type="dxa"/>
            <w:right w:w="108" w:type="dxa"/>
          </w:tblCellMar>
        </w:tblPrEx>
        <w:trPr>
          <w:trHeight w:val="506" w:hRule="atLeast"/>
        </w:trPr>
        <w:tc>
          <w:tcPr>
            <w:tcW w:w="236" w:type="dxa"/>
            <w:vMerge w:val="continue"/>
            <w:tcBorders>
              <w:top w:val="nil"/>
              <w:left w:val="single" w:color="auto" w:sz="4" w:space="0"/>
              <w:bottom w:val="nil"/>
              <w:right w:val="nil"/>
            </w:tcBorders>
            <w:vAlign w:val="center"/>
          </w:tcPr>
          <w:p>
            <w:pPr>
              <w:widowControl/>
              <w:spacing w:line="360" w:lineRule="auto"/>
              <w:jc w:val="left"/>
              <w:rPr>
                <w:rFonts w:ascii="Times New Roman" w:hAnsi="Times New Roman" w:cs="Times New Roman"/>
                <w:color w:val="auto"/>
                <w:kern w:val="0"/>
                <w:szCs w:val="21"/>
              </w:rPr>
            </w:pPr>
          </w:p>
        </w:tc>
        <w:tc>
          <w:tcPr>
            <w:tcW w:w="3547" w:type="dxa"/>
            <w:gridSpan w:val="7"/>
            <w:vMerge w:val="continue"/>
            <w:tcBorders>
              <w:top w:val="nil"/>
              <w:left w:val="nil"/>
              <w:right w:val="nil"/>
            </w:tcBorders>
            <w:vAlign w:val="center"/>
          </w:tcPr>
          <w:p>
            <w:pPr>
              <w:widowControl/>
              <w:spacing w:line="360" w:lineRule="auto"/>
              <w:jc w:val="left"/>
              <w:rPr>
                <w:rFonts w:ascii="Times New Roman" w:hAnsi="Times New Roman" w:cs="Times New Roman"/>
                <w:color w:val="auto"/>
                <w:kern w:val="0"/>
                <w:szCs w:val="21"/>
              </w:rPr>
            </w:pPr>
          </w:p>
        </w:tc>
        <w:tc>
          <w:tcPr>
            <w:tcW w:w="5155" w:type="dxa"/>
            <w:gridSpan w:val="11"/>
            <w:vMerge w:val="continue"/>
            <w:tcBorders>
              <w:top w:val="nil"/>
              <w:left w:val="nil"/>
              <w:right w:val="single" w:color="000000" w:sz="4" w:space="0"/>
            </w:tcBorders>
            <w:vAlign w:val="center"/>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574" w:hRule="atLeast"/>
        </w:trPr>
        <w:tc>
          <w:tcPr>
            <w:tcW w:w="8938" w:type="dxa"/>
            <w:gridSpan w:val="19"/>
            <w:tcBorders>
              <w:top w:val="nil"/>
              <w:left w:val="single" w:color="auto" w:sz="4" w:space="0"/>
              <w:bottom w:val="nil"/>
              <w:right w:val="single" w:color="000000" w:sz="4" w:space="0"/>
            </w:tcBorders>
            <w:vAlign w:val="bottom"/>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rPr>
              <w:t xml:space="preserve">  </w:t>
            </w:r>
            <w:r>
              <w:rPr>
                <w:rFonts w:ascii="Times New Roman" w:hAnsi="Times New Roman" w:cs="Times New Roman"/>
                <w:color w:val="auto"/>
                <w:kern w:val="0"/>
                <w:szCs w:val="21"/>
                <w:lang w:bidi="ar"/>
              </w:rPr>
              <w:t>做好各项工作</w:t>
            </w:r>
            <w:r>
              <w:rPr>
                <w:rFonts w:ascii="Times New Roman" w:hAnsi="Times New Roman" w:cs="Times New Roman"/>
                <w:color w:val="auto"/>
                <w:kern w:val="0"/>
                <w:szCs w:val="21"/>
              </w:rPr>
              <w:t>：</w:t>
            </w:r>
          </w:p>
        </w:tc>
      </w:tr>
      <w:tr>
        <w:tblPrEx>
          <w:tblLayout w:type="fixed"/>
          <w:tblCellMar>
            <w:top w:w="0" w:type="dxa"/>
            <w:left w:w="108" w:type="dxa"/>
            <w:bottom w:w="0" w:type="dxa"/>
            <w:right w:w="108" w:type="dxa"/>
          </w:tblCellMar>
        </w:tblPrEx>
        <w:trPr>
          <w:trHeight w:val="574" w:hRule="atLeast"/>
        </w:trPr>
        <w:tc>
          <w:tcPr>
            <w:tcW w:w="8938" w:type="dxa"/>
            <w:gridSpan w:val="19"/>
            <w:vMerge w:val="restart"/>
            <w:tcBorders>
              <w:top w:val="nil"/>
              <w:left w:val="single" w:color="auto" w:sz="4" w:space="0"/>
              <w:bottom w:val="nil"/>
              <w:right w:val="single" w:color="000000" w:sz="4" w:space="0"/>
            </w:tcBorders>
            <w:vAlign w:val="center"/>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574" w:hRule="atLeast"/>
        </w:trPr>
        <w:tc>
          <w:tcPr>
            <w:tcW w:w="8938" w:type="dxa"/>
            <w:gridSpan w:val="19"/>
            <w:vMerge w:val="continue"/>
            <w:tcBorders>
              <w:top w:val="nil"/>
              <w:left w:val="single" w:color="auto" w:sz="4" w:space="0"/>
              <w:bottom w:val="nil"/>
              <w:right w:val="single" w:color="000000" w:sz="4" w:space="0"/>
            </w:tcBorders>
            <w:vAlign w:val="center"/>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574" w:hRule="atLeast"/>
        </w:trPr>
        <w:tc>
          <w:tcPr>
            <w:tcW w:w="8938" w:type="dxa"/>
            <w:gridSpan w:val="19"/>
            <w:vMerge w:val="continue"/>
            <w:tcBorders>
              <w:top w:val="nil"/>
              <w:left w:val="single" w:color="auto" w:sz="4" w:space="0"/>
              <w:bottom w:val="nil"/>
              <w:right w:val="single" w:color="000000" w:sz="4" w:space="0"/>
            </w:tcBorders>
            <w:vAlign w:val="center"/>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832" w:hRule="atLeast"/>
        </w:trPr>
        <w:tc>
          <w:tcPr>
            <w:tcW w:w="8938" w:type="dxa"/>
            <w:gridSpan w:val="19"/>
            <w:vMerge w:val="continue"/>
            <w:tcBorders>
              <w:top w:val="nil"/>
              <w:left w:val="single" w:color="auto" w:sz="4" w:space="0"/>
              <w:bottom w:val="nil"/>
              <w:right w:val="single" w:color="000000" w:sz="4" w:space="0"/>
            </w:tcBorders>
            <w:vAlign w:val="center"/>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468" w:hRule="atLeast"/>
        </w:trPr>
        <w:tc>
          <w:tcPr>
            <w:tcW w:w="8938" w:type="dxa"/>
            <w:gridSpan w:val="19"/>
            <w:vMerge w:val="continue"/>
            <w:tcBorders>
              <w:top w:val="nil"/>
              <w:left w:val="single" w:color="auto" w:sz="4" w:space="0"/>
              <w:bottom w:val="nil"/>
              <w:right w:val="single" w:color="000000" w:sz="4" w:space="0"/>
            </w:tcBorders>
            <w:vAlign w:val="center"/>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gridAfter w:val="1"/>
          <w:wAfter w:w="7" w:type="dxa"/>
          <w:trHeight w:val="574" w:hRule="atLeast"/>
        </w:trPr>
        <w:tc>
          <w:tcPr>
            <w:tcW w:w="5387" w:type="dxa"/>
            <w:gridSpan w:val="11"/>
            <w:tcBorders>
              <w:top w:val="nil"/>
              <w:left w:val="single" w:color="auto" w:sz="4" w:space="0"/>
              <w:bottom w:val="nil"/>
              <w:right w:val="nil"/>
            </w:tcBorders>
            <w:vAlign w:val="center"/>
          </w:tcPr>
          <w:p>
            <w:pPr>
              <w:widowControl/>
              <w:spacing w:line="360" w:lineRule="auto"/>
              <w:jc w:val="right"/>
              <w:rPr>
                <w:rFonts w:ascii="Times New Roman" w:hAnsi="Times New Roman" w:cs="Times New Roman"/>
                <w:color w:val="auto"/>
                <w:kern w:val="0"/>
                <w:szCs w:val="21"/>
              </w:rPr>
            </w:pPr>
            <w:r>
              <w:rPr>
                <w:rFonts w:ascii="Times New Roman" w:hAnsi="Times New Roman" w:cs="Times New Roman"/>
                <w:color w:val="auto"/>
                <w:szCs w:val="21"/>
              </w:rPr>
              <w:t>环境监理单位（盖章）</w:t>
            </w:r>
            <w:r>
              <w:rPr>
                <w:rFonts w:ascii="Times New Roman" w:hAnsi="Times New Roman" w:cs="Times New Roman"/>
                <w:color w:val="auto"/>
                <w:kern w:val="0"/>
                <w:szCs w:val="21"/>
              </w:rPr>
              <w:t>：</w:t>
            </w:r>
          </w:p>
        </w:tc>
        <w:tc>
          <w:tcPr>
            <w:tcW w:w="3260" w:type="dxa"/>
            <w:gridSpan w:val="6"/>
            <w:tcBorders>
              <w:top w:val="nil"/>
              <w:left w:val="nil"/>
              <w:bottom w:val="single" w:color="auto" w:sz="4" w:space="0"/>
              <w:right w:val="nil"/>
            </w:tcBorders>
            <w:vAlign w:val="center"/>
          </w:tcPr>
          <w:p>
            <w:pPr>
              <w:widowControl/>
              <w:spacing w:line="360" w:lineRule="auto"/>
              <w:jc w:val="left"/>
              <w:rPr>
                <w:rFonts w:ascii="Times New Roman" w:hAnsi="Times New Roman" w:cs="Times New Roman"/>
                <w:color w:val="auto"/>
                <w:kern w:val="0"/>
                <w:szCs w:val="21"/>
              </w:rPr>
            </w:pPr>
          </w:p>
        </w:tc>
        <w:tc>
          <w:tcPr>
            <w:tcW w:w="284" w:type="dxa"/>
            <w:vMerge w:val="restart"/>
            <w:tcBorders>
              <w:top w:val="nil"/>
              <w:left w:val="nil"/>
              <w:bottom w:val="nil"/>
              <w:right w:val="single" w:color="auto" w:sz="4" w:space="0"/>
            </w:tcBorders>
            <w:vAlign w:val="center"/>
          </w:tcPr>
          <w:p>
            <w:pPr>
              <w:widowControl/>
              <w:spacing w:line="360" w:lineRule="auto"/>
              <w:ind w:left="-536" w:leftChars="-533" w:hanging="583" w:hangingChars="278"/>
              <w:jc w:val="center"/>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gridAfter w:val="1"/>
          <w:wAfter w:w="7" w:type="dxa"/>
          <w:trHeight w:val="574" w:hRule="atLeast"/>
        </w:trPr>
        <w:tc>
          <w:tcPr>
            <w:tcW w:w="5387" w:type="dxa"/>
            <w:gridSpan w:val="11"/>
            <w:tcBorders>
              <w:top w:val="nil"/>
              <w:left w:val="single" w:color="auto" w:sz="4" w:space="0"/>
              <w:bottom w:val="nil"/>
              <w:right w:val="nil"/>
            </w:tcBorders>
            <w:vAlign w:val="center"/>
          </w:tcPr>
          <w:p>
            <w:pPr>
              <w:widowControl/>
              <w:spacing w:line="360" w:lineRule="auto"/>
              <w:jc w:val="right"/>
              <w:rPr>
                <w:rFonts w:ascii="Times New Roman" w:hAnsi="Times New Roman" w:cs="Times New Roman"/>
                <w:color w:val="auto"/>
                <w:kern w:val="0"/>
                <w:szCs w:val="21"/>
              </w:rPr>
            </w:pPr>
            <w:r>
              <w:rPr>
                <w:rFonts w:ascii="Times New Roman" w:hAnsi="Times New Roman" w:cs="Times New Roman"/>
                <w:color w:val="auto"/>
                <w:szCs w:val="21"/>
              </w:rPr>
              <w:t>环境监理项目负责人（签字）</w:t>
            </w:r>
            <w:r>
              <w:rPr>
                <w:rFonts w:ascii="Times New Roman" w:hAnsi="Times New Roman" w:cs="Times New Roman"/>
                <w:color w:val="auto"/>
                <w:kern w:val="0"/>
                <w:szCs w:val="21"/>
              </w:rPr>
              <w:t>：</w:t>
            </w:r>
          </w:p>
        </w:tc>
        <w:tc>
          <w:tcPr>
            <w:tcW w:w="3260" w:type="dxa"/>
            <w:gridSpan w:val="6"/>
            <w:tcBorders>
              <w:top w:val="nil"/>
              <w:left w:val="nil"/>
              <w:bottom w:val="single" w:color="auto" w:sz="4" w:space="0"/>
              <w:right w:val="nil"/>
            </w:tcBorders>
            <w:vAlign w:val="center"/>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rPr>
              <w:t>　</w:t>
            </w:r>
          </w:p>
        </w:tc>
        <w:tc>
          <w:tcPr>
            <w:tcW w:w="284" w:type="dxa"/>
            <w:vMerge w:val="continue"/>
            <w:tcBorders>
              <w:top w:val="nil"/>
              <w:left w:val="nil"/>
              <w:bottom w:val="nil"/>
              <w:right w:val="single" w:color="auto" w:sz="4" w:space="0"/>
            </w:tcBorders>
            <w:vAlign w:val="center"/>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gridAfter w:val="1"/>
          <w:wAfter w:w="7" w:type="dxa"/>
          <w:trHeight w:val="574" w:hRule="atLeast"/>
        </w:trPr>
        <w:tc>
          <w:tcPr>
            <w:tcW w:w="5387" w:type="dxa"/>
            <w:gridSpan w:val="11"/>
            <w:tcBorders>
              <w:top w:val="nil"/>
              <w:left w:val="single" w:color="auto" w:sz="4" w:space="0"/>
              <w:bottom w:val="single" w:color="auto" w:sz="4" w:space="0"/>
              <w:right w:val="nil"/>
            </w:tcBorders>
            <w:vAlign w:val="center"/>
          </w:tcPr>
          <w:p>
            <w:pPr>
              <w:widowControl/>
              <w:spacing w:line="360" w:lineRule="auto"/>
              <w:jc w:val="right"/>
              <w:rPr>
                <w:rFonts w:ascii="Times New Roman" w:hAnsi="Times New Roman" w:cs="Times New Roman"/>
                <w:color w:val="auto"/>
                <w:kern w:val="0"/>
                <w:szCs w:val="21"/>
              </w:rPr>
            </w:pPr>
            <w:r>
              <w:rPr>
                <w:rFonts w:ascii="Times New Roman" w:hAnsi="Times New Roman" w:cs="Times New Roman"/>
                <w:color w:val="auto"/>
                <w:kern w:val="0"/>
                <w:szCs w:val="21"/>
              </w:rPr>
              <w:t>日    期：</w:t>
            </w:r>
          </w:p>
        </w:tc>
        <w:tc>
          <w:tcPr>
            <w:tcW w:w="3260" w:type="dxa"/>
            <w:gridSpan w:val="6"/>
            <w:tcBorders>
              <w:top w:val="single" w:color="auto" w:sz="4" w:space="0"/>
              <w:left w:val="nil"/>
              <w:bottom w:val="single" w:color="auto" w:sz="4" w:space="0"/>
              <w:right w:val="nil"/>
            </w:tcBorders>
            <w:vAlign w:val="center"/>
          </w:tcPr>
          <w:p>
            <w:pPr>
              <w:widowControl/>
              <w:spacing w:line="360" w:lineRule="auto"/>
              <w:ind w:leftChars="-39" w:hanging="81" w:hangingChars="39"/>
              <w:jc w:val="left"/>
              <w:rPr>
                <w:rFonts w:ascii="Times New Roman" w:hAnsi="Times New Roman" w:cs="Times New Roman"/>
                <w:color w:val="auto"/>
                <w:kern w:val="0"/>
                <w:szCs w:val="21"/>
              </w:rPr>
            </w:pP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 xml:space="preserve">年 </w:t>
            </w: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月</w:t>
            </w: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日</w:t>
            </w:r>
          </w:p>
        </w:tc>
        <w:tc>
          <w:tcPr>
            <w:tcW w:w="284" w:type="dxa"/>
            <w:vMerge w:val="continue"/>
            <w:tcBorders>
              <w:top w:val="nil"/>
              <w:left w:val="nil"/>
              <w:bottom w:val="single" w:color="auto" w:sz="4" w:space="0"/>
              <w:right w:val="single" w:color="auto" w:sz="4" w:space="0"/>
            </w:tcBorders>
            <w:vAlign w:val="center"/>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90" w:hRule="atLeast"/>
        </w:trPr>
        <w:tc>
          <w:tcPr>
            <w:tcW w:w="8938" w:type="dxa"/>
            <w:gridSpan w:val="19"/>
            <w:tcBorders>
              <w:top w:val="nil"/>
              <w:left w:val="single" w:color="auto" w:sz="4" w:space="0"/>
              <w:bottom w:val="single" w:color="auto" w:sz="4" w:space="0"/>
              <w:right w:val="single" w:color="auto" w:sz="4" w:space="0"/>
            </w:tcBorders>
            <w:vAlign w:val="center"/>
          </w:tcPr>
          <w:p>
            <w:pPr>
              <w:widowControl/>
              <w:spacing w:line="360" w:lineRule="auto"/>
              <w:jc w:val="left"/>
              <w:rPr>
                <w:rFonts w:ascii="Times New Roman" w:hAnsi="Times New Roman" w:cs="Times New Roman"/>
                <w:color w:val="auto"/>
                <w:kern w:val="0"/>
                <w:szCs w:val="21"/>
              </w:rPr>
            </w:pPr>
            <w:r>
              <w:rPr>
                <w:rFonts w:hint="eastAsia" w:ascii="Times New Roman" w:hAnsi="Times New Roman" w:cs="Times New Roman"/>
                <w:color w:val="auto"/>
                <w:kern w:val="0"/>
                <w:szCs w:val="21"/>
              </w:rPr>
              <w:t>施工单位签署意见：</w:t>
            </w:r>
          </w:p>
          <w:p>
            <w:pPr>
              <w:widowControl/>
              <w:spacing w:line="360" w:lineRule="auto"/>
              <w:jc w:val="left"/>
              <w:rPr>
                <w:rFonts w:ascii="Times New Roman" w:hAnsi="Times New Roman" w:cs="Times New Roman"/>
                <w:color w:val="auto"/>
                <w:kern w:val="0"/>
                <w:szCs w:val="21"/>
              </w:rPr>
            </w:pPr>
          </w:p>
          <w:p>
            <w:pPr>
              <w:widowControl/>
              <w:spacing w:line="360" w:lineRule="auto"/>
              <w:jc w:val="left"/>
              <w:rPr>
                <w:rFonts w:ascii="Times New Roman" w:hAnsi="Times New Roman" w:cs="Times New Roman"/>
                <w:color w:val="auto"/>
                <w:kern w:val="0"/>
                <w:szCs w:val="21"/>
              </w:rPr>
            </w:pPr>
          </w:p>
          <w:p>
            <w:pPr>
              <w:widowControl/>
              <w:spacing w:line="360" w:lineRule="auto"/>
              <w:jc w:val="center"/>
              <w:rPr>
                <w:rFonts w:ascii="Times New Roman" w:hAnsi="Times New Roman" w:cs="Times New Roman"/>
                <w:color w:val="auto"/>
                <w:kern w:val="0"/>
                <w:szCs w:val="21"/>
              </w:rPr>
            </w:pPr>
            <w:r>
              <w:rPr>
                <w:rFonts w:hint="eastAsia" w:ascii="Times New Roman" w:hAnsi="Times New Roman" w:cs="Times New Roman"/>
                <w:color w:val="auto"/>
                <w:kern w:val="0"/>
                <w:szCs w:val="21"/>
              </w:rPr>
              <w:t>施工单位（盖章）：</w:t>
            </w:r>
          </w:p>
          <w:p>
            <w:pPr>
              <w:widowControl/>
              <w:spacing w:line="360" w:lineRule="auto"/>
              <w:jc w:val="center"/>
              <w:rPr>
                <w:rFonts w:ascii="Times New Roman" w:hAnsi="Times New Roman" w:cs="Times New Roman"/>
                <w:color w:val="auto"/>
                <w:kern w:val="0"/>
                <w:szCs w:val="21"/>
              </w:rPr>
            </w:pPr>
            <w:r>
              <w:rPr>
                <w:rFonts w:hint="eastAsia" w:ascii="Times New Roman" w:hAnsi="Times New Roman" w:cs="Times New Roman"/>
                <w:color w:val="auto"/>
                <w:kern w:val="0"/>
                <w:szCs w:val="21"/>
              </w:rPr>
              <w:t>项目经理（签字）：</w:t>
            </w:r>
          </w:p>
          <w:p>
            <w:pPr>
              <w:widowControl/>
              <w:spacing w:line="360" w:lineRule="auto"/>
              <w:jc w:val="center"/>
              <w:rPr>
                <w:rFonts w:ascii="Times New Roman" w:hAnsi="Times New Roman" w:cs="Times New Roman"/>
                <w:color w:val="auto"/>
                <w:kern w:val="0"/>
                <w:szCs w:val="21"/>
              </w:rPr>
            </w:pPr>
            <w:r>
              <w:rPr>
                <w:rFonts w:hint="eastAsia" w:ascii="Times New Roman" w:hAnsi="Times New Roman" w:cs="Times New Roman"/>
                <w:color w:val="auto"/>
                <w:kern w:val="0"/>
                <w:szCs w:val="21"/>
              </w:rPr>
              <w:t xml:space="preserve">            日期：</w:t>
            </w: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 xml:space="preserve">年 </w:t>
            </w: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月</w:t>
            </w: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日</w:t>
            </w:r>
          </w:p>
        </w:tc>
      </w:tr>
    </w:tbl>
    <w:p>
      <w:pPr>
        <w:pStyle w:val="15"/>
        <w:spacing w:after="312" w:afterLines="100" w:line="360" w:lineRule="auto"/>
        <w:ind w:left="545"/>
        <w:jc w:val="center"/>
        <w:rPr>
          <w:rFonts w:ascii="Times New Roman" w:hAnsi="Times New Roman" w:cs="Times New Roman"/>
          <w:color w:val="auto"/>
          <w:szCs w:val="21"/>
        </w:rPr>
        <w:sectPr>
          <w:pgSz w:w="11906" w:h="16838"/>
          <w:pgMar w:top="1440" w:right="1440" w:bottom="1440" w:left="1440" w:header="851" w:footer="992" w:gutter="0"/>
          <w:cols w:space="720" w:num="1"/>
          <w:docGrid w:type="lines" w:linePitch="312" w:charSpace="0"/>
        </w:sectPr>
      </w:pPr>
    </w:p>
    <w:p>
      <w:pPr>
        <w:pStyle w:val="138"/>
        <w:numPr>
          <w:ilvl w:val="2"/>
          <w:numId w:val="23"/>
        </w:numPr>
        <w:spacing w:before="156" w:after="156" w:line="360" w:lineRule="auto"/>
        <w:jc w:val="center"/>
        <w:outlineLvl w:val="2"/>
        <w:rPr>
          <w:rFonts w:ascii="Times New Roman"/>
          <w:color w:val="auto"/>
          <w:kern w:val="10"/>
          <w:sz w:val="24"/>
          <w:szCs w:val="24"/>
        </w:rPr>
      </w:pPr>
      <w:r>
        <w:rPr>
          <w:rFonts w:ascii="Times New Roman"/>
          <w:color w:val="auto"/>
          <w:kern w:val="10"/>
          <w:sz w:val="24"/>
          <w:szCs w:val="24"/>
        </w:rPr>
        <w:t>复工指令单</w:t>
      </w:r>
    </w:p>
    <w:p>
      <w:pPr>
        <w:rPr>
          <w:rFonts w:ascii="Times New Roman" w:hAnsi="Times New Roman" w:cs="Times New Roman"/>
          <w:color w:val="auto"/>
        </w:rPr>
      </w:pPr>
    </w:p>
    <w:tbl>
      <w:tblPr>
        <w:tblStyle w:val="45"/>
        <w:tblW w:w="8798" w:type="dxa"/>
        <w:tblInd w:w="108" w:type="dxa"/>
        <w:tblLayout w:type="fixed"/>
        <w:tblCellMar>
          <w:top w:w="0" w:type="dxa"/>
          <w:left w:w="108" w:type="dxa"/>
          <w:bottom w:w="0" w:type="dxa"/>
          <w:right w:w="108" w:type="dxa"/>
        </w:tblCellMar>
      </w:tblPr>
      <w:tblGrid>
        <w:gridCol w:w="387"/>
        <w:gridCol w:w="840"/>
        <w:gridCol w:w="456"/>
        <w:gridCol w:w="585"/>
        <w:gridCol w:w="189"/>
        <w:gridCol w:w="1654"/>
        <w:gridCol w:w="826"/>
        <w:gridCol w:w="567"/>
        <w:gridCol w:w="929"/>
        <w:gridCol w:w="219"/>
        <w:gridCol w:w="1867"/>
        <w:gridCol w:w="279"/>
      </w:tblGrid>
      <w:tr>
        <w:tblPrEx>
          <w:tblLayout w:type="fixed"/>
          <w:tblCellMar>
            <w:top w:w="0" w:type="dxa"/>
            <w:left w:w="108" w:type="dxa"/>
            <w:bottom w:w="0" w:type="dxa"/>
            <w:right w:w="108" w:type="dxa"/>
          </w:tblCellMar>
        </w:tblPrEx>
        <w:trPr>
          <w:trHeight w:val="229" w:hRule="atLeast"/>
        </w:trPr>
        <w:tc>
          <w:tcPr>
            <w:tcW w:w="5504" w:type="dxa"/>
            <w:gridSpan w:val="8"/>
            <w:vAlign w:val="bottom"/>
          </w:tcPr>
          <w:p>
            <w:pPr>
              <w:widowControl/>
              <w:spacing w:line="360" w:lineRule="auto"/>
              <w:jc w:val="left"/>
              <w:rPr>
                <w:rFonts w:ascii="Times New Roman" w:hAnsi="Times New Roman" w:cs="Times New Roman"/>
                <w:color w:val="auto"/>
                <w:kern w:val="0"/>
                <w:szCs w:val="21"/>
              </w:rPr>
            </w:pPr>
          </w:p>
        </w:tc>
        <w:tc>
          <w:tcPr>
            <w:tcW w:w="1148" w:type="dxa"/>
            <w:gridSpan w:val="2"/>
            <w:vAlign w:val="center"/>
          </w:tcPr>
          <w:p>
            <w:pPr>
              <w:widowControl/>
              <w:spacing w:line="360" w:lineRule="auto"/>
              <w:ind w:firstLine="338" w:firstLineChars="161"/>
              <w:rPr>
                <w:rFonts w:ascii="Times New Roman" w:hAnsi="Times New Roman" w:cs="Times New Roman"/>
                <w:color w:val="auto"/>
                <w:kern w:val="0"/>
                <w:szCs w:val="21"/>
              </w:rPr>
            </w:pPr>
            <w:r>
              <w:rPr>
                <w:rFonts w:ascii="Times New Roman" w:hAnsi="Times New Roman" w:cs="Times New Roman"/>
                <w:color w:val="auto"/>
                <w:kern w:val="0"/>
                <w:szCs w:val="21"/>
              </w:rPr>
              <w:t>编号：</w:t>
            </w:r>
          </w:p>
        </w:tc>
        <w:tc>
          <w:tcPr>
            <w:tcW w:w="2146" w:type="dxa"/>
            <w:gridSpan w:val="2"/>
            <w:vAlign w:val="center"/>
          </w:tcPr>
          <w:p>
            <w:pPr>
              <w:widowControl/>
              <w:spacing w:line="360" w:lineRule="auto"/>
              <w:jc w:val="center"/>
              <w:rPr>
                <w:rFonts w:ascii="Times New Roman" w:hAnsi="Times New Roman" w:cs="Times New Roman"/>
                <w:color w:val="auto"/>
                <w:kern w:val="0"/>
                <w:szCs w:val="21"/>
              </w:rPr>
            </w:pPr>
            <w:r>
              <w:rPr>
                <w:rFonts w:ascii="Times New Roman" w:hAnsi="Times New Roman" w:eastAsia="DotumChe" w:cs="Times New Roman"/>
                <w:color w:val="auto"/>
                <w:kern w:val="0"/>
                <w:sz w:val="20"/>
                <w:szCs w:val="21"/>
              </w:rPr>
              <w:t>XXXXXX</w:t>
            </w:r>
          </w:p>
        </w:tc>
      </w:tr>
      <w:tr>
        <w:tblPrEx>
          <w:tblLayout w:type="fixed"/>
          <w:tblCellMar>
            <w:top w:w="0" w:type="dxa"/>
            <w:left w:w="108" w:type="dxa"/>
            <w:bottom w:w="0" w:type="dxa"/>
            <w:right w:w="108" w:type="dxa"/>
          </w:tblCellMar>
        </w:tblPrEx>
        <w:trPr>
          <w:trHeight w:val="576" w:hRule="atLeast"/>
        </w:trPr>
        <w:tc>
          <w:tcPr>
            <w:tcW w:w="2268"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Times New Roman" w:hAnsi="Times New Roman" w:cs="Times New Roman"/>
                <w:color w:val="auto"/>
                <w:kern w:val="0"/>
                <w:szCs w:val="21"/>
              </w:rPr>
            </w:pPr>
            <w:r>
              <w:rPr>
                <w:rFonts w:ascii="Times New Roman" w:hAnsi="Times New Roman" w:cs="Times New Roman"/>
                <w:color w:val="auto"/>
                <w:kern w:val="0"/>
                <w:szCs w:val="21"/>
              </w:rPr>
              <w:t>工程名称</w:t>
            </w:r>
          </w:p>
        </w:tc>
        <w:tc>
          <w:tcPr>
            <w:tcW w:w="6530" w:type="dxa"/>
            <w:gridSpan w:val="8"/>
            <w:tcBorders>
              <w:top w:val="single" w:color="auto" w:sz="4" w:space="0"/>
              <w:left w:val="nil"/>
              <w:bottom w:val="single" w:color="auto" w:sz="4" w:space="0"/>
              <w:right w:val="single" w:color="auto" w:sz="4" w:space="0"/>
            </w:tcBorders>
            <w:vAlign w:val="center"/>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rPr>
              <w:t>　</w:t>
            </w:r>
          </w:p>
        </w:tc>
      </w:tr>
      <w:tr>
        <w:tblPrEx>
          <w:tblLayout w:type="fixed"/>
          <w:tblCellMar>
            <w:top w:w="0" w:type="dxa"/>
            <w:left w:w="108" w:type="dxa"/>
            <w:bottom w:w="0" w:type="dxa"/>
            <w:right w:w="108" w:type="dxa"/>
          </w:tblCellMar>
        </w:tblPrEx>
        <w:trPr>
          <w:trHeight w:val="460" w:hRule="atLeast"/>
        </w:trPr>
        <w:tc>
          <w:tcPr>
            <w:tcW w:w="1227" w:type="dxa"/>
            <w:gridSpan w:val="2"/>
            <w:tcBorders>
              <w:top w:val="nil"/>
              <w:left w:val="single" w:color="auto" w:sz="4" w:space="0"/>
              <w:bottom w:val="nil"/>
              <w:right w:val="nil"/>
            </w:tcBorders>
            <w:vAlign w:val="bottom"/>
          </w:tcPr>
          <w:p>
            <w:pPr>
              <w:widowControl/>
              <w:spacing w:line="360" w:lineRule="auto"/>
              <w:jc w:val="right"/>
              <w:rPr>
                <w:rFonts w:ascii="Times New Roman" w:hAnsi="Times New Roman" w:cs="Times New Roman"/>
                <w:color w:val="auto"/>
                <w:kern w:val="0"/>
                <w:szCs w:val="21"/>
              </w:rPr>
            </w:pPr>
            <w:r>
              <w:rPr>
                <w:rFonts w:ascii="Times New Roman" w:hAnsi="Times New Roman" w:cs="Times New Roman"/>
                <w:color w:val="auto"/>
                <w:kern w:val="0"/>
                <w:szCs w:val="21"/>
              </w:rPr>
              <w:t>致</w:t>
            </w:r>
          </w:p>
        </w:tc>
        <w:tc>
          <w:tcPr>
            <w:tcW w:w="3710" w:type="dxa"/>
            <w:gridSpan w:val="5"/>
            <w:tcBorders>
              <w:top w:val="nil"/>
              <w:left w:val="nil"/>
              <w:right w:val="nil"/>
            </w:tcBorders>
            <w:vAlign w:val="bottom"/>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u w:val="single"/>
              </w:rPr>
              <w:t xml:space="preserve">  </w:t>
            </w:r>
            <w:r>
              <w:rPr>
                <w:rFonts w:hint="eastAsia" w:ascii="Times New Roman" w:hAnsi="Times New Roman" w:cs="Times New Roman"/>
                <w:color w:val="auto"/>
                <w:kern w:val="0"/>
                <w:szCs w:val="21"/>
                <w:u w:val="single"/>
              </w:rPr>
              <w:t>（施工单位）</w:t>
            </w: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　</w:t>
            </w:r>
          </w:p>
        </w:tc>
        <w:tc>
          <w:tcPr>
            <w:tcW w:w="3861" w:type="dxa"/>
            <w:gridSpan w:val="5"/>
            <w:tcBorders>
              <w:top w:val="nil"/>
              <w:left w:val="nil"/>
              <w:bottom w:val="nil"/>
              <w:right w:val="single" w:color="000000" w:sz="4" w:space="0"/>
            </w:tcBorders>
            <w:vAlign w:val="bottom"/>
          </w:tcPr>
          <w:p>
            <w:pPr>
              <w:widowControl/>
              <w:spacing w:line="360" w:lineRule="auto"/>
              <w:jc w:val="left"/>
              <w:rPr>
                <w:rFonts w:ascii="Times New Roman" w:hAnsi="Times New Roman" w:cs="Times New Roman"/>
                <w:color w:val="auto"/>
                <w:kern w:val="0"/>
                <w:szCs w:val="21"/>
              </w:rPr>
            </w:pPr>
            <w:r>
              <w:rPr>
                <w:rFonts w:hint="eastAsia" w:ascii="Times New Roman" w:hAnsi="Times New Roman" w:cs="Times New Roman"/>
                <w:color w:val="auto"/>
                <w:kern w:val="0"/>
                <w:szCs w:val="21"/>
              </w:rPr>
              <w:t>：</w:t>
            </w:r>
          </w:p>
        </w:tc>
      </w:tr>
      <w:tr>
        <w:tblPrEx>
          <w:tblLayout w:type="fixed"/>
          <w:tblCellMar>
            <w:top w:w="0" w:type="dxa"/>
            <w:left w:w="108" w:type="dxa"/>
            <w:bottom w:w="0" w:type="dxa"/>
            <w:right w:w="108" w:type="dxa"/>
          </w:tblCellMar>
        </w:tblPrEx>
        <w:trPr>
          <w:trHeight w:val="460" w:hRule="atLeast"/>
        </w:trPr>
        <w:tc>
          <w:tcPr>
            <w:tcW w:w="6433" w:type="dxa"/>
            <w:gridSpan w:val="9"/>
            <w:tcBorders>
              <w:top w:val="nil"/>
              <w:left w:val="single" w:color="auto" w:sz="4" w:space="0"/>
              <w:bottom w:val="nil"/>
              <w:right w:val="nil"/>
            </w:tcBorders>
            <w:vAlign w:val="bottom"/>
          </w:tcPr>
          <w:p>
            <w:pPr>
              <w:widowControl/>
              <w:spacing w:before="240" w:beforeLines="77" w:line="360" w:lineRule="auto"/>
              <w:ind w:firstLine="840" w:firstLineChars="400"/>
              <w:rPr>
                <w:rFonts w:ascii="Times New Roman" w:hAnsi="Times New Roman" w:cs="Times New Roman"/>
                <w:color w:val="auto"/>
                <w:kern w:val="0"/>
                <w:szCs w:val="21"/>
              </w:rPr>
            </w:pPr>
            <w:r>
              <w:rPr>
                <w:rFonts w:hint="eastAsia" w:ascii="Times New Roman" w:hAnsi="Times New Roman" w:cs="Times New Roman"/>
                <w:color w:val="auto"/>
                <w:kern w:val="0"/>
                <w:szCs w:val="21"/>
              </w:rPr>
              <w:t>经</w:t>
            </w:r>
            <w:r>
              <w:rPr>
                <w:rFonts w:ascii="Times New Roman" w:hAnsi="Times New Roman" w:cs="Times New Roman"/>
                <w:color w:val="auto"/>
                <w:kern w:val="0"/>
                <w:szCs w:val="21"/>
              </w:rPr>
              <w:t>对</w:t>
            </w:r>
            <w:r>
              <w:rPr>
                <w:rFonts w:ascii="Times New Roman" w:hAnsi="Times New Roman" w:cs="Times New Roman"/>
                <w:color w:val="auto"/>
                <w:kern w:val="0"/>
                <w:szCs w:val="21"/>
                <w:u w:val="single"/>
              </w:rPr>
              <w:t xml:space="preserve">                                               </w:t>
            </w:r>
          </w:p>
        </w:tc>
        <w:tc>
          <w:tcPr>
            <w:tcW w:w="2086" w:type="dxa"/>
            <w:gridSpan w:val="2"/>
            <w:vAlign w:val="bottom"/>
          </w:tcPr>
          <w:p>
            <w:pPr>
              <w:widowControl/>
              <w:spacing w:before="240" w:beforeLines="77"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rPr>
              <w:t>进行了审查，认为</w:t>
            </w:r>
          </w:p>
        </w:tc>
        <w:tc>
          <w:tcPr>
            <w:tcW w:w="279" w:type="dxa"/>
            <w:tcBorders>
              <w:top w:val="nil"/>
              <w:left w:val="nil"/>
              <w:bottom w:val="nil"/>
              <w:right w:val="single" w:color="000000" w:sz="4" w:space="0"/>
            </w:tcBorders>
            <w:vAlign w:val="bottom"/>
          </w:tcPr>
          <w:p>
            <w:pPr>
              <w:widowControl/>
              <w:spacing w:before="240" w:beforeLines="77"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460" w:hRule="atLeast"/>
        </w:trPr>
        <w:tc>
          <w:tcPr>
            <w:tcW w:w="387" w:type="dxa"/>
            <w:tcBorders>
              <w:top w:val="nil"/>
              <w:left w:val="single" w:color="auto" w:sz="4" w:space="0"/>
              <w:bottom w:val="nil"/>
              <w:right w:val="nil"/>
            </w:tcBorders>
            <w:vAlign w:val="bottom"/>
          </w:tcPr>
          <w:p>
            <w:pPr>
              <w:widowControl/>
              <w:spacing w:before="240" w:beforeLines="77" w:line="360" w:lineRule="auto"/>
              <w:jc w:val="left"/>
              <w:rPr>
                <w:rFonts w:ascii="Times New Roman" w:hAnsi="Times New Roman" w:cs="Times New Roman"/>
                <w:color w:val="auto"/>
                <w:kern w:val="0"/>
                <w:szCs w:val="21"/>
              </w:rPr>
            </w:pPr>
          </w:p>
        </w:tc>
        <w:tc>
          <w:tcPr>
            <w:tcW w:w="1296" w:type="dxa"/>
            <w:gridSpan w:val="2"/>
            <w:tcBorders>
              <w:top w:val="nil"/>
              <w:left w:val="nil"/>
              <w:right w:val="nil"/>
            </w:tcBorders>
            <w:vAlign w:val="bottom"/>
          </w:tcPr>
          <w:p>
            <w:pPr>
              <w:widowControl/>
              <w:spacing w:before="240" w:beforeLines="77"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u w:val="single"/>
              </w:rPr>
              <w:t xml:space="preserve">                                </w:t>
            </w:r>
          </w:p>
        </w:tc>
        <w:tc>
          <w:tcPr>
            <w:tcW w:w="774" w:type="dxa"/>
            <w:gridSpan w:val="2"/>
            <w:vAlign w:val="bottom"/>
          </w:tcPr>
          <w:p>
            <w:pPr>
              <w:widowControl/>
              <w:spacing w:before="240" w:beforeLines="77"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rPr>
              <w:t>工程</w:t>
            </w:r>
          </w:p>
        </w:tc>
        <w:tc>
          <w:tcPr>
            <w:tcW w:w="1654" w:type="dxa"/>
            <w:tcBorders>
              <w:top w:val="nil"/>
              <w:left w:val="nil"/>
              <w:right w:val="nil"/>
            </w:tcBorders>
            <w:vAlign w:val="bottom"/>
          </w:tcPr>
          <w:p>
            <w:pPr>
              <w:widowControl/>
              <w:spacing w:before="240" w:beforeLines="77"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u w:val="single"/>
              </w:rPr>
              <w:t xml:space="preserve">                                </w:t>
            </w:r>
          </w:p>
        </w:tc>
        <w:tc>
          <w:tcPr>
            <w:tcW w:w="4687" w:type="dxa"/>
            <w:gridSpan w:val="6"/>
            <w:tcBorders>
              <w:top w:val="nil"/>
              <w:left w:val="nil"/>
              <w:bottom w:val="nil"/>
              <w:right w:val="single" w:color="000000" w:sz="4" w:space="0"/>
            </w:tcBorders>
            <w:vAlign w:val="bottom"/>
          </w:tcPr>
          <w:p>
            <w:pPr>
              <w:widowControl/>
              <w:spacing w:before="240" w:beforeLines="77" w:line="360" w:lineRule="auto"/>
              <w:jc w:val="left"/>
              <w:rPr>
                <w:rFonts w:ascii="Times New Roman" w:hAnsi="Times New Roman" w:cs="Times New Roman"/>
                <w:color w:val="auto"/>
                <w:kern w:val="0"/>
                <w:szCs w:val="21"/>
              </w:rPr>
            </w:pPr>
            <w:r>
              <w:rPr>
                <w:rFonts w:hint="eastAsia" w:ascii="Times New Roman" w:hAnsi="Times New Roman" w:cs="Times New Roman"/>
                <w:color w:val="auto"/>
                <w:kern w:val="0"/>
                <w:szCs w:val="21"/>
                <w:lang w:bidi="ar"/>
              </w:rPr>
              <w:t>（</w:t>
            </w:r>
            <w:r>
              <w:rPr>
                <w:rFonts w:ascii="Times New Roman" w:hAnsi="Times New Roman" w:cs="Times New Roman"/>
                <w:color w:val="auto"/>
                <w:kern w:val="0"/>
                <w:szCs w:val="21"/>
              </w:rPr>
              <w:t>区段、部位）可以开始施工，贵部在</w:t>
            </w:r>
          </w:p>
        </w:tc>
      </w:tr>
      <w:tr>
        <w:tblPrEx>
          <w:tblLayout w:type="fixed"/>
          <w:tblCellMar>
            <w:top w:w="0" w:type="dxa"/>
            <w:left w:w="108" w:type="dxa"/>
            <w:bottom w:w="0" w:type="dxa"/>
            <w:right w:w="108" w:type="dxa"/>
          </w:tblCellMar>
        </w:tblPrEx>
        <w:trPr>
          <w:trHeight w:val="460" w:hRule="atLeast"/>
        </w:trPr>
        <w:tc>
          <w:tcPr>
            <w:tcW w:w="8519" w:type="dxa"/>
            <w:gridSpan w:val="11"/>
            <w:tcBorders>
              <w:top w:val="nil"/>
              <w:left w:val="single" w:color="auto" w:sz="4" w:space="0"/>
              <w:bottom w:val="nil"/>
              <w:right w:val="nil"/>
            </w:tcBorders>
            <w:vAlign w:val="bottom"/>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rPr>
              <w:t xml:space="preserve"> 接到本开工令后，迅速组织施工。</w:t>
            </w:r>
          </w:p>
        </w:tc>
        <w:tc>
          <w:tcPr>
            <w:tcW w:w="279" w:type="dxa"/>
            <w:tcBorders>
              <w:top w:val="nil"/>
              <w:left w:val="nil"/>
              <w:bottom w:val="nil"/>
              <w:right w:val="single" w:color="000000" w:sz="4" w:space="0"/>
            </w:tcBorders>
            <w:vAlign w:val="bottom"/>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238" w:hRule="atLeast"/>
        </w:trPr>
        <w:tc>
          <w:tcPr>
            <w:tcW w:w="1227" w:type="dxa"/>
            <w:gridSpan w:val="2"/>
            <w:tcBorders>
              <w:top w:val="nil"/>
              <w:left w:val="single" w:color="auto" w:sz="4" w:space="0"/>
              <w:bottom w:val="nil"/>
              <w:right w:val="nil"/>
            </w:tcBorders>
            <w:vAlign w:val="center"/>
          </w:tcPr>
          <w:p>
            <w:pPr>
              <w:widowControl/>
              <w:spacing w:before="262" w:beforeLines="84" w:line="360" w:lineRule="auto"/>
              <w:jc w:val="right"/>
              <w:rPr>
                <w:rFonts w:ascii="Times New Roman" w:hAnsi="Times New Roman" w:cs="Times New Roman"/>
                <w:color w:val="auto"/>
                <w:kern w:val="0"/>
                <w:szCs w:val="21"/>
                <w:lang w:bidi="ar"/>
              </w:rPr>
            </w:pPr>
            <w:r>
              <w:rPr>
                <w:rFonts w:ascii="Times New Roman" w:hAnsi="Times New Roman" w:cs="Times New Roman"/>
                <w:color w:val="auto"/>
                <w:kern w:val="0"/>
                <w:szCs w:val="21"/>
              </w:rPr>
              <w:t xml:space="preserve"> 本工程</w:t>
            </w:r>
          </w:p>
        </w:tc>
        <w:tc>
          <w:tcPr>
            <w:tcW w:w="5425" w:type="dxa"/>
            <w:gridSpan w:val="8"/>
            <w:tcBorders>
              <w:top w:val="nil"/>
              <w:left w:val="nil"/>
              <w:right w:val="nil"/>
            </w:tcBorders>
            <w:vAlign w:val="center"/>
          </w:tcPr>
          <w:p>
            <w:pPr>
              <w:widowControl/>
              <w:spacing w:before="262" w:beforeLines="84" w:line="360" w:lineRule="auto"/>
              <w:jc w:val="left"/>
              <w:rPr>
                <w:rFonts w:ascii="Times New Roman" w:hAnsi="Times New Roman" w:cs="Times New Roman"/>
                <w:color w:val="auto"/>
                <w:kern w:val="0"/>
                <w:szCs w:val="21"/>
                <w:u w:val="single"/>
                <w:lang w:bidi="ar"/>
              </w:rPr>
            </w:pPr>
            <w:r>
              <w:rPr>
                <w:rFonts w:ascii="Times New Roman" w:hAnsi="Times New Roman" w:cs="Times New Roman"/>
                <w:color w:val="auto"/>
                <w:kern w:val="0"/>
                <w:szCs w:val="21"/>
                <w:u w:val="single"/>
                <w:lang w:bidi="ar"/>
              </w:rPr>
              <w:t xml:space="preserve">                                                         </w:t>
            </w:r>
          </w:p>
        </w:tc>
        <w:tc>
          <w:tcPr>
            <w:tcW w:w="2146" w:type="dxa"/>
            <w:gridSpan w:val="2"/>
            <w:tcBorders>
              <w:top w:val="nil"/>
              <w:left w:val="nil"/>
              <w:bottom w:val="nil"/>
              <w:right w:val="single" w:color="000000" w:sz="4" w:space="0"/>
            </w:tcBorders>
            <w:vAlign w:val="center"/>
          </w:tcPr>
          <w:p>
            <w:pPr>
              <w:widowControl/>
              <w:spacing w:before="262" w:beforeLines="84" w:line="360" w:lineRule="auto"/>
              <w:jc w:val="left"/>
              <w:rPr>
                <w:rFonts w:ascii="Times New Roman" w:hAnsi="Times New Roman" w:cs="Times New Roman"/>
                <w:color w:val="auto"/>
                <w:kern w:val="0"/>
                <w:szCs w:val="21"/>
                <w:lang w:bidi="ar"/>
              </w:rPr>
            </w:pPr>
            <w:r>
              <w:rPr>
                <w:rFonts w:hint="eastAsia" w:ascii="Times New Roman" w:hAnsi="Times New Roman" w:cs="Times New Roman"/>
                <w:color w:val="auto"/>
                <w:szCs w:val="21"/>
              </w:rPr>
              <w:t>（</w:t>
            </w:r>
            <w:r>
              <w:rPr>
                <w:rFonts w:ascii="Times New Roman" w:hAnsi="Times New Roman" w:cs="Times New Roman"/>
                <w:color w:val="auto"/>
                <w:szCs w:val="21"/>
              </w:rPr>
              <w:t>区段、部</w:t>
            </w:r>
            <w:r>
              <w:rPr>
                <w:rFonts w:hint="eastAsia" w:ascii="Times New Roman" w:hAnsi="Times New Roman" w:cs="Times New Roman"/>
                <w:color w:val="auto"/>
                <w:szCs w:val="21"/>
              </w:rPr>
              <w:t>位）</w:t>
            </w:r>
          </w:p>
        </w:tc>
      </w:tr>
      <w:tr>
        <w:tblPrEx>
          <w:tblLayout w:type="fixed"/>
          <w:tblCellMar>
            <w:top w:w="0" w:type="dxa"/>
            <w:left w:w="108" w:type="dxa"/>
            <w:bottom w:w="0" w:type="dxa"/>
            <w:right w:w="108" w:type="dxa"/>
          </w:tblCellMar>
        </w:tblPrEx>
        <w:trPr>
          <w:trHeight w:val="494" w:hRule="atLeast"/>
        </w:trPr>
        <w:tc>
          <w:tcPr>
            <w:tcW w:w="8798" w:type="dxa"/>
            <w:gridSpan w:val="12"/>
            <w:tcBorders>
              <w:top w:val="nil"/>
              <w:left w:val="single" w:color="auto" w:sz="4" w:space="0"/>
              <w:bottom w:val="nil"/>
              <w:right w:val="single" w:color="000000" w:sz="4" w:space="0"/>
            </w:tcBorders>
            <w:vAlign w:val="center"/>
          </w:tcPr>
          <w:p>
            <w:pPr>
              <w:widowControl/>
              <w:spacing w:before="262" w:beforeLines="84" w:line="360" w:lineRule="auto"/>
              <w:ind w:right="1890"/>
              <w:rPr>
                <w:rFonts w:ascii="Times New Roman" w:hAnsi="Times New Roman" w:cs="Times New Roman"/>
                <w:color w:val="auto"/>
                <w:kern w:val="0"/>
                <w:szCs w:val="21"/>
                <w:lang w:bidi="ar"/>
              </w:rPr>
            </w:pPr>
            <w:r>
              <w:rPr>
                <w:rFonts w:ascii="Times New Roman" w:hAnsi="Times New Roman" w:cs="Times New Roman"/>
                <w:color w:val="auto"/>
                <w:szCs w:val="21"/>
              </w:rPr>
              <w:t>的开/复工日期定为</w:t>
            </w: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年</w:t>
            </w: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月</w:t>
            </w: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日</w:t>
            </w:r>
            <w:r>
              <w:rPr>
                <w:rFonts w:ascii="Times New Roman" w:hAnsi="Times New Roman" w:cs="Times New Roman"/>
                <w:color w:val="auto"/>
                <w:kern w:val="0"/>
                <w:szCs w:val="21"/>
                <w:lang w:bidi="ar"/>
              </w:rPr>
              <w:t>。</w:t>
            </w:r>
          </w:p>
        </w:tc>
      </w:tr>
      <w:tr>
        <w:tblPrEx>
          <w:tblLayout w:type="fixed"/>
          <w:tblCellMar>
            <w:top w:w="0" w:type="dxa"/>
            <w:left w:w="108" w:type="dxa"/>
            <w:bottom w:w="0" w:type="dxa"/>
            <w:right w:w="108" w:type="dxa"/>
          </w:tblCellMar>
        </w:tblPrEx>
        <w:trPr>
          <w:trHeight w:val="460" w:hRule="atLeast"/>
        </w:trPr>
        <w:tc>
          <w:tcPr>
            <w:tcW w:w="8798" w:type="dxa"/>
            <w:gridSpan w:val="12"/>
            <w:tcBorders>
              <w:top w:val="nil"/>
              <w:left w:val="single" w:color="auto" w:sz="4" w:space="0"/>
              <w:bottom w:val="nil"/>
              <w:right w:val="single" w:color="000000" w:sz="4" w:space="0"/>
            </w:tcBorders>
            <w:vAlign w:val="bottom"/>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460" w:hRule="atLeast"/>
        </w:trPr>
        <w:tc>
          <w:tcPr>
            <w:tcW w:w="4937" w:type="dxa"/>
            <w:gridSpan w:val="7"/>
            <w:tcBorders>
              <w:top w:val="nil"/>
              <w:left w:val="single" w:color="auto" w:sz="4" w:space="0"/>
              <w:bottom w:val="nil"/>
              <w:right w:val="nil"/>
            </w:tcBorders>
            <w:vAlign w:val="center"/>
          </w:tcPr>
          <w:p>
            <w:pPr>
              <w:widowControl/>
              <w:spacing w:line="360" w:lineRule="auto"/>
              <w:jc w:val="right"/>
              <w:rPr>
                <w:rFonts w:ascii="Times New Roman" w:hAnsi="Times New Roman" w:cs="Times New Roman"/>
                <w:color w:val="auto"/>
                <w:kern w:val="0"/>
                <w:szCs w:val="21"/>
              </w:rPr>
            </w:pPr>
            <w:r>
              <w:rPr>
                <w:rFonts w:ascii="Times New Roman" w:hAnsi="Times New Roman" w:cs="Times New Roman"/>
                <w:color w:val="auto"/>
                <w:szCs w:val="21"/>
              </w:rPr>
              <w:t>环境监理单位（盖章）</w:t>
            </w:r>
            <w:r>
              <w:rPr>
                <w:rFonts w:ascii="Times New Roman" w:hAnsi="Times New Roman" w:cs="Times New Roman"/>
                <w:color w:val="auto"/>
                <w:kern w:val="0"/>
                <w:szCs w:val="21"/>
              </w:rPr>
              <w:t>：</w:t>
            </w:r>
          </w:p>
        </w:tc>
        <w:tc>
          <w:tcPr>
            <w:tcW w:w="3582" w:type="dxa"/>
            <w:gridSpan w:val="4"/>
            <w:tcBorders>
              <w:top w:val="nil"/>
              <w:left w:val="nil"/>
              <w:bottom w:val="single" w:color="auto" w:sz="4" w:space="0"/>
              <w:right w:val="nil"/>
            </w:tcBorders>
            <w:vAlign w:val="center"/>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rPr>
              <w:t>　</w:t>
            </w:r>
          </w:p>
        </w:tc>
        <w:tc>
          <w:tcPr>
            <w:tcW w:w="279" w:type="dxa"/>
            <w:vMerge w:val="restart"/>
            <w:tcBorders>
              <w:top w:val="nil"/>
              <w:left w:val="nil"/>
              <w:bottom w:val="nil"/>
              <w:right w:val="single" w:color="auto" w:sz="4" w:space="0"/>
            </w:tcBorders>
            <w:vAlign w:val="center"/>
          </w:tcPr>
          <w:p>
            <w:pPr>
              <w:widowControl/>
              <w:spacing w:line="360" w:lineRule="auto"/>
              <w:jc w:val="center"/>
              <w:rPr>
                <w:rFonts w:ascii="Times New Roman" w:hAnsi="Times New Roman" w:cs="Times New Roman"/>
                <w:color w:val="auto"/>
                <w:kern w:val="0"/>
                <w:szCs w:val="21"/>
              </w:rPr>
            </w:pPr>
            <w:r>
              <w:rPr>
                <w:rFonts w:ascii="Times New Roman" w:hAnsi="Times New Roman" w:cs="Times New Roman"/>
                <w:color w:val="auto"/>
                <w:kern w:val="0"/>
                <w:szCs w:val="21"/>
              </w:rPr>
              <w:t>　</w:t>
            </w:r>
          </w:p>
        </w:tc>
      </w:tr>
      <w:tr>
        <w:tblPrEx>
          <w:tblLayout w:type="fixed"/>
          <w:tblCellMar>
            <w:top w:w="0" w:type="dxa"/>
            <w:left w:w="108" w:type="dxa"/>
            <w:bottom w:w="0" w:type="dxa"/>
            <w:right w:w="108" w:type="dxa"/>
          </w:tblCellMar>
        </w:tblPrEx>
        <w:trPr>
          <w:trHeight w:val="460" w:hRule="atLeast"/>
        </w:trPr>
        <w:tc>
          <w:tcPr>
            <w:tcW w:w="4937" w:type="dxa"/>
            <w:gridSpan w:val="7"/>
            <w:tcBorders>
              <w:top w:val="nil"/>
              <w:left w:val="single" w:color="auto" w:sz="4" w:space="0"/>
              <w:bottom w:val="nil"/>
              <w:right w:val="nil"/>
            </w:tcBorders>
            <w:vAlign w:val="center"/>
          </w:tcPr>
          <w:p>
            <w:pPr>
              <w:widowControl/>
              <w:spacing w:line="360" w:lineRule="auto"/>
              <w:jc w:val="right"/>
              <w:rPr>
                <w:rFonts w:ascii="Times New Roman" w:hAnsi="Times New Roman" w:cs="Times New Roman"/>
                <w:color w:val="auto"/>
                <w:kern w:val="0"/>
                <w:szCs w:val="21"/>
              </w:rPr>
            </w:pPr>
            <w:r>
              <w:rPr>
                <w:rFonts w:ascii="Times New Roman" w:hAnsi="Times New Roman" w:cs="Times New Roman"/>
                <w:color w:val="auto"/>
                <w:szCs w:val="21"/>
              </w:rPr>
              <w:t>环境监理项目负责人（签字）</w:t>
            </w:r>
            <w:r>
              <w:rPr>
                <w:rFonts w:ascii="Times New Roman" w:hAnsi="Times New Roman" w:cs="Times New Roman"/>
                <w:color w:val="auto"/>
                <w:kern w:val="0"/>
                <w:szCs w:val="21"/>
              </w:rPr>
              <w:t>：</w:t>
            </w:r>
          </w:p>
        </w:tc>
        <w:tc>
          <w:tcPr>
            <w:tcW w:w="3582" w:type="dxa"/>
            <w:gridSpan w:val="4"/>
            <w:tcBorders>
              <w:top w:val="nil"/>
              <w:left w:val="nil"/>
              <w:bottom w:val="single" w:color="auto" w:sz="4" w:space="0"/>
              <w:right w:val="nil"/>
            </w:tcBorders>
            <w:vAlign w:val="center"/>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rPr>
              <w:t>　</w:t>
            </w:r>
          </w:p>
        </w:tc>
        <w:tc>
          <w:tcPr>
            <w:tcW w:w="279" w:type="dxa"/>
            <w:vMerge w:val="continue"/>
            <w:tcBorders>
              <w:top w:val="nil"/>
              <w:left w:val="nil"/>
              <w:bottom w:val="nil"/>
              <w:right w:val="single" w:color="auto" w:sz="4" w:space="0"/>
            </w:tcBorders>
            <w:vAlign w:val="center"/>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460" w:hRule="atLeast"/>
        </w:trPr>
        <w:tc>
          <w:tcPr>
            <w:tcW w:w="4937" w:type="dxa"/>
            <w:gridSpan w:val="7"/>
            <w:tcBorders>
              <w:top w:val="nil"/>
              <w:left w:val="single" w:color="auto" w:sz="4" w:space="0"/>
              <w:bottom w:val="nil"/>
              <w:right w:val="nil"/>
            </w:tcBorders>
            <w:vAlign w:val="center"/>
          </w:tcPr>
          <w:p>
            <w:pPr>
              <w:widowControl/>
              <w:spacing w:line="360" w:lineRule="auto"/>
              <w:jc w:val="right"/>
              <w:rPr>
                <w:rFonts w:ascii="Times New Roman" w:hAnsi="Times New Roman" w:cs="Times New Roman"/>
                <w:color w:val="auto"/>
                <w:kern w:val="0"/>
                <w:szCs w:val="21"/>
              </w:rPr>
            </w:pPr>
            <w:r>
              <w:rPr>
                <w:rFonts w:ascii="Times New Roman" w:hAnsi="Times New Roman" w:cs="Times New Roman"/>
                <w:color w:val="auto"/>
                <w:kern w:val="0"/>
                <w:szCs w:val="21"/>
              </w:rPr>
              <w:t>日    期：</w:t>
            </w:r>
          </w:p>
        </w:tc>
        <w:tc>
          <w:tcPr>
            <w:tcW w:w="3582" w:type="dxa"/>
            <w:gridSpan w:val="4"/>
            <w:tcBorders>
              <w:top w:val="single" w:color="auto" w:sz="4" w:space="0"/>
              <w:left w:val="nil"/>
              <w:right w:val="nil"/>
            </w:tcBorders>
            <w:vAlign w:val="center"/>
          </w:tcPr>
          <w:p>
            <w:pPr>
              <w:widowControl/>
              <w:spacing w:line="360" w:lineRule="auto"/>
              <w:ind w:leftChars="-104" w:hanging="218" w:hangingChars="104"/>
              <w:jc w:val="left"/>
              <w:rPr>
                <w:rFonts w:ascii="Times New Roman" w:hAnsi="Times New Roman" w:cs="Times New Roman"/>
                <w:color w:val="auto"/>
                <w:kern w:val="0"/>
                <w:szCs w:val="21"/>
              </w:rPr>
            </w:pP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 xml:space="preserve">年 </w:t>
            </w: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月</w:t>
            </w: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 xml:space="preserve">日   </w:t>
            </w:r>
          </w:p>
        </w:tc>
        <w:tc>
          <w:tcPr>
            <w:tcW w:w="279" w:type="dxa"/>
            <w:vMerge w:val="continue"/>
            <w:tcBorders>
              <w:top w:val="nil"/>
              <w:left w:val="nil"/>
              <w:bottom w:val="nil"/>
              <w:right w:val="single" w:color="auto" w:sz="4" w:space="0"/>
            </w:tcBorders>
            <w:vAlign w:val="center"/>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460" w:hRule="atLeast"/>
        </w:trPr>
        <w:tc>
          <w:tcPr>
            <w:tcW w:w="4937" w:type="dxa"/>
            <w:gridSpan w:val="7"/>
            <w:tcBorders>
              <w:top w:val="nil"/>
              <w:left w:val="single" w:color="auto" w:sz="4" w:space="0"/>
              <w:bottom w:val="nil"/>
              <w:right w:val="nil"/>
            </w:tcBorders>
            <w:vAlign w:val="center"/>
          </w:tcPr>
          <w:p>
            <w:pPr>
              <w:widowControl/>
              <w:spacing w:line="360" w:lineRule="auto"/>
              <w:jc w:val="right"/>
              <w:rPr>
                <w:rFonts w:ascii="Times New Roman" w:hAnsi="Times New Roman" w:cs="Times New Roman"/>
                <w:color w:val="auto"/>
                <w:kern w:val="0"/>
                <w:szCs w:val="21"/>
              </w:rPr>
            </w:pPr>
            <w:r>
              <w:rPr>
                <w:rFonts w:hint="eastAsia" w:ascii="Times New Roman" w:hAnsi="Times New Roman" w:cs="Times New Roman"/>
                <w:color w:val="auto"/>
                <w:kern w:val="0"/>
                <w:szCs w:val="21"/>
              </w:rPr>
              <w:t>土壤污染修复责任主体</w:t>
            </w:r>
            <w:r>
              <w:rPr>
                <w:rFonts w:ascii="Times New Roman" w:hAnsi="Times New Roman" w:cs="Times New Roman"/>
                <w:color w:val="auto"/>
                <w:kern w:val="0"/>
                <w:szCs w:val="21"/>
              </w:rPr>
              <w:t>（盖章）：</w:t>
            </w:r>
          </w:p>
        </w:tc>
        <w:tc>
          <w:tcPr>
            <w:tcW w:w="3582" w:type="dxa"/>
            <w:gridSpan w:val="4"/>
            <w:tcBorders>
              <w:left w:val="nil"/>
              <w:bottom w:val="single" w:color="auto" w:sz="4" w:space="0"/>
              <w:right w:val="nil"/>
            </w:tcBorders>
            <w:vAlign w:val="center"/>
          </w:tcPr>
          <w:p>
            <w:pPr>
              <w:widowControl/>
              <w:spacing w:line="360" w:lineRule="auto"/>
              <w:jc w:val="left"/>
              <w:rPr>
                <w:rFonts w:ascii="Times New Roman" w:hAnsi="Times New Roman" w:cs="Times New Roman"/>
                <w:color w:val="auto"/>
                <w:kern w:val="0"/>
                <w:szCs w:val="21"/>
              </w:rPr>
            </w:pPr>
          </w:p>
        </w:tc>
        <w:tc>
          <w:tcPr>
            <w:tcW w:w="279" w:type="dxa"/>
            <w:tcBorders>
              <w:top w:val="nil"/>
              <w:left w:val="nil"/>
              <w:bottom w:val="nil"/>
              <w:right w:val="single" w:color="auto" w:sz="4" w:space="0"/>
            </w:tcBorders>
            <w:vAlign w:val="center"/>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460" w:hRule="atLeast"/>
        </w:trPr>
        <w:tc>
          <w:tcPr>
            <w:tcW w:w="4937" w:type="dxa"/>
            <w:gridSpan w:val="7"/>
            <w:tcBorders>
              <w:top w:val="nil"/>
              <w:left w:val="single" w:color="auto" w:sz="4" w:space="0"/>
              <w:bottom w:val="nil"/>
              <w:right w:val="nil"/>
            </w:tcBorders>
            <w:vAlign w:val="center"/>
          </w:tcPr>
          <w:p>
            <w:pPr>
              <w:widowControl/>
              <w:spacing w:line="360" w:lineRule="auto"/>
              <w:jc w:val="right"/>
              <w:rPr>
                <w:rFonts w:ascii="Times New Roman" w:hAnsi="Times New Roman" w:cs="Times New Roman"/>
                <w:color w:val="auto"/>
                <w:kern w:val="0"/>
                <w:szCs w:val="21"/>
              </w:rPr>
            </w:pPr>
            <w:r>
              <w:rPr>
                <w:rFonts w:ascii="Times New Roman" w:hAnsi="Times New Roman" w:cs="Times New Roman"/>
                <w:color w:val="auto"/>
                <w:kern w:val="0"/>
                <w:szCs w:val="21"/>
              </w:rPr>
              <w:t>负责人（签字）：</w:t>
            </w:r>
          </w:p>
        </w:tc>
        <w:tc>
          <w:tcPr>
            <w:tcW w:w="3582" w:type="dxa"/>
            <w:gridSpan w:val="4"/>
            <w:tcBorders>
              <w:top w:val="single" w:color="auto" w:sz="4" w:space="0"/>
              <w:left w:val="nil"/>
              <w:bottom w:val="single" w:color="auto" w:sz="4" w:space="0"/>
              <w:right w:val="nil"/>
            </w:tcBorders>
            <w:vAlign w:val="center"/>
          </w:tcPr>
          <w:p>
            <w:pPr>
              <w:widowControl/>
              <w:spacing w:line="360" w:lineRule="auto"/>
              <w:jc w:val="left"/>
              <w:rPr>
                <w:rFonts w:ascii="Times New Roman" w:hAnsi="Times New Roman" w:cs="Times New Roman"/>
                <w:color w:val="auto"/>
                <w:kern w:val="0"/>
                <w:szCs w:val="21"/>
              </w:rPr>
            </w:pPr>
          </w:p>
        </w:tc>
        <w:tc>
          <w:tcPr>
            <w:tcW w:w="279" w:type="dxa"/>
            <w:tcBorders>
              <w:top w:val="nil"/>
              <w:left w:val="nil"/>
              <w:bottom w:val="nil"/>
              <w:right w:val="single" w:color="auto" w:sz="4" w:space="0"/>
            </w:tcBorders>
            <w:vAlign w:val="center"/>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460" w:hRule="atLeast"/>
        </w:trPr>
        <w:tc>
          <w:tcPr>
            <w:tcW w:w="4937" w:type="dxa"/>
            <w:gridSpan w:val="7"/>
            <w:tcBorders>
              <w:top w:val="nil"/>
              <w:left w:val="single" w:color="auto" w:sz="4" w:space="0"/>
              <w:bottom w:val="nil"/>
              <w:right w:val="nil"/>
            </w:tcBorders>
            <w:vAlign w:val="center"/>
          </w:tcPr>
          <w:p>
            <w:pPr>
              <w:widowControl/>
              <w:spacing w:line="360" w:lineRule="auto"/>
              <w:jc w:val="right"/>
              <w:rPr>
                <w:rFonts w:ascii="Times New Roman" w:hAnsi="Times New Roman" w:cs="Times New Roman"/>
                <w:color w:val="auto"/>
                <w:kern w:val="0"/>
                <w:szCs w:val="21"/>
              </w:rPr>
            </w:pPr>
            <w:r>
              <w:rPr>
                <w:rFonts w:ascii="Times New Roman" w:hAnsi="Times New Roman" w:cs="Times New Roman"/>
                <w:color w:val="auto"/>
                <w:kern w:val="0"/>
                <w:szCs w:val="21"/>
              </w:rPr>
              <w:t>日    期：</w:t>
            </w:r>
          </w:p>
        </w:tc>
        <w:tc>
          <w:tcPr>
            <w:tcW w:w="3582" w:type="dxa"/>
            <w:gridSpan w:val="4"/>
            <w:tcBorders>
              <w:top w:val="single" w:color="auto" w:sz="4" w:space="0"/>
              <w:left w:val="nil"/>
              <w:bottom w:val="single" w:color="auto" w:sz="4" w:space="0"/>
              <w:right w:val="nil"/>
            </w:tcBorders>
            <w:vAlign w:val="center"/>
          </w:tcPr>
          <w:p>
            <w:pPr>
              <w:widowControl/>
              <w:spacing w:line="360" w:lineRule="auto"/>
              <w:ind w:left="-221" w:leftChars="-510" w:hanging="850" w:hangingChars="405"/>
              <w:jc w:val="center"/>
              <w:rPr>
                <w:rFonts w:ascii="Times New Roman" w:hAnsi="Times New Roman" w:cs="Times New Roman"/>
                <w:color w:val="auto"/>
                <w:kern w:val="0"/>
                <w:szCs w:val="21"/>
              </w:rPr>
            </w:pP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 xml:space="preserve">年 </w:t>
            </w: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月</w:t>
            </w: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日</w:t>
            </w:r>
          </w:p>
        </w:tc>
        <w:tc>
          <w:tcPr>
            <w:tcW w:w="279" w:type="dxa"/>
            <w:tcBorders>
              <w:top w:val="nil"/>
              <w:left w:val="nil"/>
              <w:bottom w:val="nil"/>
              <w:right w:val="single" w:color="auto" w:sz="4" w:space="0"/>
            </w:tcBorders>
            <w:vAlign w:val="center"/>
          </w:tcPr>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567" w:hRule="atLeast"/>
        </w:trPr>
        <w:tc>
          <w:tcPr>
            <w:tcW w:w="8798" w:type="dxa"/>
            <w:gridSpan w:val="12"/>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Times New Roman" w:hAnsi="Times New Roman" w:cs="Times New Roman"/>
                <w:color w:val="auto"/>
                <w:kern w:val="0"/>
                <w:szCs w:val="21"/>
              </w:rPr>
            </w:pPr>
            <w:r>
              <w:rPr>
                <w:rFonts w:ascii="Times New Roman" w:hAnsi="Times New Roman" w:cs="Times New Roman"/>
                <w:color w:val="auto"/>
                <w:kern w:val="0"/>
                <w:szCs w:val="21"/>
              </w:rPr>
              <w:t>开工说明：</w:t>
            </w:r>
          </w:p>
          <w:p>
            <w:pPr>
              <w:widowControl/>
              <w:spacing w:line="360" w:lineRule="auto"/>
              <w:jc w:val="left"/>
              <w:rPr>
                <w:rFonts w:ascii="Times New Roman" w:hAnsi="Times New Roman" w:cs="Times New Roman"/>
                <w:color w:val="auto"/>
                <w:kern w:val="0"/>
                <w:szCs w:val="21"/>
              </w:rPr>
            </w:pPr>
          </w:p>
          <w:p>
            <w:pPr>
              <w:widowControl/>
              <w:spacing w:line="360" w:lineRule="auto"/>
              <w:jc w:val="left"/>
              <w:rPr>
                <w:rFonts w:ascii="Times New Roman" w:hAnsi="Times New Roman" w:cs="Times New Roman"/>
                <w:color w:val="auto"/>
                <w:kern w:val="0"/>
                <w:szCs w:val="21"/>
              </w:rPr>
            </w:pPr>
          </w:p>
        </w:tc>
      </w:tr>
      <w:tr>
        <w:tblPrEx>
          <w:tblLayout w:type="fixed"/>
          <w:tblCellMar>
            <w:top w:w="0" w:type="dxa"/>
            <w:left w:w="108" w:type="dxa"/>
            <w:bottom w:w="0" w:type="dxa"/>
            <w:right w:w="108" w:type="dxa"/>
          </w:tblCellMar>
        </w:tblPrEx>
        <w:trPr>
          <w:trHeight w:val="526" w:hRule="atLeast"/>
        </w:trPr>
        <w:tc>
          <w:tcPr>
            <w:tcW w:w="8798" w:type="dxa"/>
            <w:gridSpan w:val="12"/>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Times New Roman" w:hAnsi="Times New Roman" w:cs="Times New Roman"/>
                <w:color w:val="auto"/>
                <w:kern w:val="0"/>
                <w:szCs w:val="21"/>
              </w:rPr>
            </w:pPr>
            <w:r>
              <w:rPr>
                <w:rFonts w:hint="eastAsia" w:ascii="Times New Roman" w:hAnsi="Times New Roman" w:cs="Times New Roman"/>
                <w:color w:val="auto"/>
                <w:kern w:val="0"/>
                <w:szCs w:val="21"/>
              </w:rPr>
              <w:t>施工单位签署意见：</w:t>
            </w:r>
          </w:p>
          <w:p>
            <w:pPr>
              <w:widowControl/>
              <w:spacing w:line="360" w:lineRule="auto"/>
              <w:jc w:val="left"/>
              <w:rPr>
                <w:rFonts w:ascii="Times New Roman" w:hAnsi="Times New Roman" w:cs="Times New Roman"/>
                <w:color w:val="auto"/>
                <w:kern w:val="0"/>
                <w:szCs w:val="21"/>
              </w:rPr>
            </w:pPr>
          </w:p>
          <w:p>
            <w:pPr>
              <w:widowControl/>
              <w:spacing w:line="360" w:lineRule="auto"/>
              <w:jc w:val="center"/>
              <w:rPr>
                <w:rFonts w:ascii="Times New Roman" w:hAnsi="Times New Roman" w:cs="Times New Roman"/>
                <w:color w:val="auto"/>
                <w:kern w:val="0"/>
                <w:szCs w:val="21"/>
              </w:rPr>
            </w:pPr>
          </w:p>
          <w:p>
            <w:pPr>
              <w:widowControl/>
              <w:spacing w:line="360" w:lineRule="auto"/>
              <w:jc w:val="center"/>
              <w:rPr>
                <w:rFonts w:ascii="Times New Roman" w:hAnsi="Times New Roman" w:cs="Times New Roman"/>
                <w:color w:val="auto"/>
                <w:kern w:val="0"/>
                <w:szCs w:val="21"/>
              </w:rPr>
            </w:pPr>
            <w:r>
              <w:rPr>
                <w:rFonts w:hint="eastAsia" w:ascii="Times New Roman" w:hAnsi="Times New Roman" w:cs="Times New Roman"/>
                <w:color w:val="auto"/>
                <w:kern w:val="0"/>
                <w:szCs w:val="21"/>
              </w:rPr>
              <w:t>施工单位（盖章）：</w:t>
            </w:r>
          </w:p>
          <w:p>
            <w:pPr>
              <w:widowControl/>
              <w:spacing w:line="360" w:lineRule="auto"/>
              <w:jc w:val="center"/>
              <w:rPr>
                <w:rFonts w:ascii="Times New Roman" w:hAnsi="Times New Roman" w:cs="Times New Roman"/>
                <w:color w:val="auto"/>
                <w:kern w:val="0"/>
                <w:szCs w:val="21"/>
              </w:rPr>
            </w:pPr>
            <w:r>
              <w:rPr>
                <w:rFonts w:hint="eastAsia" w:ascii="Times New Roman" w:hAnsi="Times New Roman" w:cs="Times New Roman"/>
                <w:color w:val="auto"/>
                <w:kern w:val="0"/>
                <w:szCs w:val="21"/>
              </w:rPr>
              <w:t>项目经理（签字）：</w:t>
            </w:r>
          </w:p>
          <w:p>
            <w:pPr>
              <w:widowControl/>
              <w:spacing w:line="360" w:lineRule="auto"/>
              <w:jc w:val="center"/>
              <w:rPr>
                <w:rFonts w:ascii="Times New Roman" w:hAnsi="Times New Roman" w:cs="Times New Roman"/>
                <w:color w:val="auto"/>
                <w:kern w:val="0"/>
                <w:szCs w:val="21"/>
              </w:rPr>
            </w:pPr>
            <w:r>
              <w:rPr>
                <w:rFonts w:hint="eastAsia" w:ascii="Times New Roman" w:hAnsi="Times New Roman" w:cs="Times New Roman"/>
                <w:color w:val="auto"/>
                <w:kern w:val="0"/>
                <w:szCs w:val="21"/>
              </w:rPr>
              <w:t xml:space="preserve">            日期：</w:t>
            </w: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 xml:space="preserve">年 </w:t>
            </w: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月</w:t>
            </w:r>
            <w:r>
              <w:rPr>
                <w:rFonts w:ascii="Times New Roman" w:hAnsi="Times New Roman" w:cs="Times New Roman"/>
                <w:color w:val="auto"/>
                <w:kern w:val="0"/>
                <w:szCs w:val="21"/>
                <w:u w:val="single"/>
              </w:rPr>
              <w:t xml:space="preserve">　    </w:t>
            </w:r>
            <w:r>
              <w:rPr>
                <w:rFonts w:ascii="Times New Roman" w:hAnsi="Times New Roman" w:cs="Times New Roman"/>
                <w:color w:val="auto"/>
                <w:kern w:val="0"/>
                <w:szCs w:val="21"/>
              </w:rPr>
              <w:t>日</w:t>
            </w:r>
          </w:p>
        </w:tc>
      </w:tr>
    </w:tbl>
    <w:p>
      <w:pPr>
        <w:pStyle w:val="15"/>
        <w:spacing w:after="312" w:afterLines="100" w:line="360" w:lineRule="auto"/>
        <w:ind w:left="545"/>
        <w:jc w:val="center"/>
        <w:rPr>
          <w:rFonts w:ascii="Times New Roman" w:hAnsi="Times New Roman" w:cs="Times New Roman"/>
          <w:color w:val="auto"/>
          <w:szCs w:val="21"/>
        </w:rPr>
        <w:sectPr>
          <w:pgSz w:w="11906" w:h="16838"/>
          <w:pgMar w:top="1440" w:right="1440" w:bottom="1440" w:left="1440" w:header="851" w:footer="992" w:gutter="0"/>
          <w:cols w:space="720" w:num="1"/>
          <w:docGrid w:type="lines" w:linePitch="312" w:charSpace="0"/>
        </w:sectPr>
      </w:pPr>
    </w:p>
    <w:p>
      <w:pPr>
        <w:pStyle w:val="138"/>
        <w:numPr>
          <w:ilvl w:val="2"/>
          <w:numId w:val="23"/>
        </w:numPr>
        <w:spacing w:before="156" w:after="156" w:line="360" w:lineRule="auto"/>
        <w:jc w:val="center"/>
        <w:outlineLvl w:val="2"/>
        <w:rPr>
          <w:rFonts w:ascii="Times New Roman"/>
          <w:color w:val="auto"/>
          <w:kern w:val="10"/>
          <w:sz w:val="24"/>
          <w:szCs w:val="24"/>
        </w:rPr>
      </w:pPr>
      <w:r>
        <w:rPr>
          <w:rFonts w:ascii="Times New Roman"/>
          <w:color w:val="auto"/>
          <w:kern w:val="10"/>
          <w:sz w:val="24"/>
          <w:szCs w:val="24"/>
        </w:rPr>
        <w:t>环境监理日志</w:t>
      </w:r>
    </w:p>
    <w:p>
      <w:pPr>
        <w:spacing w:after="78" w:afterLines="25" w:line="360" w:lineRule="auto"/>
        <w:ind w:firstLine="482"/>
        <w:rPr>
          <w:rFonts w:ascii="Times New Roman" w:hAnsi="Times New Roman" w:cs="Times New Roman"/>
          <w:color w:val="auto"/>
          <w:szCs w:val="21"/>
        </w:rPr>
      </w:pPr>
      <w:r>
        <w:rPr>
          <w:rFonts w:ascii="Times New Roman" w:hAnsi="Times New Roman" w:cs="Times New Roman"/>
          <w:color w:val="auto"/>
          <w:szCs w:val="21"/>
        </w:rPr>
        <w:t>工程名称：                                        编号：XXXXXX</w:t>
      </w:r>
    </w:p>
    <w:tbl>
      <w:tblPr>
        <w:tblStyle w:val="45"/>
        <w:tblW w:w="884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1"/>
        <w:gridCol w:w="2478"/>
        <w:gridCol w:w="1843"/>
        <w:gridCol w:w="1984"/>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8842" w:type="dxa"/>
            <w:gridSpan w:val="5"/>
            <w:tcBorders>
              <w:top w:val="single" w:color="auto" w:sz="4" w:space="0"/>
              <w:left w:val="single" w:color="auto" w:sz="4" w:space="0"/>
              <w:bottom w:val="single" w:color="auto" w:sz="4" w:space="0"/>
              <w:right w:val="single" w:color="auto" w:sz="4" w:space="0"/>
            </w:tcBorders>
            <w:vAlign w:val="center"/>
          </w:tcPr>
          <w:p>
            <w:pPr>
              <w:spacing w:line="360" w:lineRule="auto"/>
              <w:rPr>
                <w:rFonts w:ascii="Times New Roman" w:hAnsi="Times New Roman" w:cs="Times New Roman"/>
                <w:color w:val="auto"/>
                <w:szCs w:val="21"/>
              </w:rPr>
            </w:pPr>
            <w:r>
              <w:rPr>
                <w:rFonts w:ascii="Times New Roman" w:hAnsi="Times New Roman" w:cs="Times New Roman"/>
                <w:color w:val="auto"/>
                <w:szCs w:val="21"/>
              </w:rPr>
              <w:t xml:space="preserve">施工单位：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311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color w:val="auto"/>
                <w:szCs w:val="21"/>
              </w:rPr>
            </w:pPr>
            <w:r>
              <w:rPr>
                <w:rFonts w:ascii="Times New Roman" w:hAnsi="Times New Roman" w:cs="Times New Roman"/>
                <w:color w:val="auto"/>
                <w:szCs w:val="21"/>
              </w:rPr>
              <w:t>监理方式</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color w:val="auto"/>
                <w:szCs w:val="21"/>
                <w:lang w:val="zh-CN" w:eastAsia="en-US" w:bidi="en-US"/>
              </w:rPr>
            </w:pPr>
            <w:r>
              <w:rPr>
                <w:rFonts w:ascii="Times New Roman" w:hAnsi="Times New Roman" w:cs="Times New Roman"/>
                <w:color w:val="auto"/>
                <w:szCs w:val="21"/>
              </w:rPr>
              <w:t>日期</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color w:val="auto"/>
                <w:szCs w:val="21"/>
              </w:rPr>
            </w:pPr>
            <w:r>
              <w:rPr>
                <w:rFonts w:ascii="Times New Roman" w:hAnsi="Times New Roman" w:cs="Times New Roman"/>
                <w:color w:val="auto"/>
                <w:szCs w:val="21"/>
              </w:rPr>
              <w:t>到达时间</w:t>
            </w:r>
          </w:p>
        </w:tc>
        <w:tc>
          <w:tcPr>
            <w:tcW w:w="189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color w:val="auto"/>
                <w:szCs w:val="21"/>
              </w:rPr>
            </w:pPr>
            <w:r>
              <w:rPr>
                <w:rFonts w:ascii="Times New Roman" w:hAnsi="Times New Roman" w:cs="Times New Roman"/>
                <w:color w:val="auto"/>
                <w:szCs w:val="21"/>
              </w:rPr>
              <w:t>离开时间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311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ascii="Times New Roman" w:hAnsi="Times New Roman" w:cs="Times New Roman"/>
                <w:color w:val="auto"/>
                <w:szCs w:val="21"/>
              </w:rPr>
            </w:pPr>
            <w:r>
              <w:rPr>
                <w:rFonts w:hint="eastAsia" w:eastAsia="楷体_GB2312"/>
                <w:color w:val="auto"/>
                <w:spacing w:val="2"/>
                <w:sz w:val="24"/>
                <w:szCs w:val="24"/>
              </w:rPr>
              <w:t>□</w:t>
            </w:r>
            <w:r>
              <w:rPr>
                <w:rFonts w:ascii="Times New Roman" w:hAnsi="Times New Roman" w:cs="Times New Roman"/>
                <w:color w:val="auto"/>
                <w:szCs w:val="21"/>
              </w:rPr>
              <w:t>巡视</w:t>
            </w:r>
            <w:r>
              <w:rPr>
                <w:rFonts w:hint="eastAsia" w:ascii="Times New Roman" w:hAnsi="Times New Roman" w:cs="Times New Roman"/>
                <w:color w:val="auto"/>
                <w:szCs w:val="21"/>
              </w:rPr>
              <w:t xml:space="preserve"> </w:t>
            </w:r>
            <w:r>
              <w:rPr>
                <w:rFonts w:hint="eastAsia" w:eastAsia="楷体_GB2312"/>
                <w:color w:val="auto"/>
                <w:spacing w:val="2"/>
                <w:sz w:val="24"/>
                <w:szCs w:val="24"/>
              </w:rPr>
              <w:t>□</w:t>
            </w:r>
            <w:r>
              <w:rPr>
                <w:rFonts w:ascii="Times New Roman" w:hAnsi="Times New Roman" w:cs="Times New Roman"/>
                <w:color w:val="auto"/>
                <w:szCs w:val="21"/>
              </w:rPr>
              <w:t>旁站</w:t>
            </w:r>
            <w:r>
              <w:rPr>
                <w:rFonts w:hint="eastAsia" w:ascii="Times New Roman" w:hAnsi="Times New Roman" w:cs="Times New Roman"/>
                <w:color w:val="auto"/>
                <w:szCs w:val="21"/>
              </w:rPr>
              <w:t xml:space="preserve"> </w:t>
            </w:r>
            <w:r>
              <w:rPr>
                <w:rFonts w:hint="eastAsia" w:eastAsia="楷体_GB2312"/>
                <w:color w:val="auto"/>
                <w:spacing w:val="2"/>
                <w:sz w:val="24"/>
                <w:szCs w:val="24"/>
              </w:rPr>
              <w:t>□</w:t>
            </w:r>
            <w:r>
              <w:rPr>
                <w:rFonts w:hint="eastAsia" w:ascii="Times New Roman" w:hAnsi="Times New Roman" w:cs="Times New Roman"/>
                <w:color w:val="auto"/>
                <w:szCs w:val="21"/>
              </w:rPr>
              <w:t>其他</w:t>
            </w:r>
            <w:r>
              <w:rPr>
                <w:rFonts w:hint="eastAsia" w:ascii="Times New Roman" w:hAnsi="Times New Roman" w:cs="Times New Roman"/>
                <w:color w:val="auto"/>
                <w:szCs w:val="21"/>
                <w:u w:val="single"/>
              </w:rPr>
              <w:t xml:space="preserve"> </w:t>
            </w:r>
            <w:r>
              <w:rPr>
                <w:rFonts w:ascii="Times New Roman" w:hAnsi="Times New Roman" w:cs="Times New Roman"/>
                <w:color w:val="auto"/>
                <w:szCs w:val="21"/>
                <w:u w:val="single"/>
              </w:rPr>
              <w:t xml:space="preserve">      </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color w:val="auto"/>
                <w:szCs w:val="21"/>
              </w:rPr>
            </w:pP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color w:val="auto"/>
                <w:szCs w:val="21"/>
              </w:rPr>
            </w:pPr>
          </w:p>
        </w:tc>
        <w:tc>
          <w:tcPr>
            <w:tcW w:w="189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311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color w:val="auto"/>
                <w:szCs w:val="21"/>
              </w:rPr>
            </w:pPr>
            <w:r>
              <w:rPr>
                <w:rFonts w:ascii="Times New Roman" w:hAnsi="Times New Roman" w:cs="Times New Roman"/>
                <w:color w:val="auto"/>
                <w:szCs w:val="21"/>
              </w:rPr>
              <w:t>天气</w:t>
            </w:r>
            <w:r>
              <w:rPr>
                <w:rFonts w:hint="eastAsia" w:ascii="Times New Roman" w:hAnsi="Times New Roman" w:cs="Times New Roman"/>
                <w:color w:val="auto"/>
                <w:szCs w:val="21"/>
              </w:rPr>
              <w:t>情况</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color w:val="auto"/>
                <w:szCs w:val="21"/>
                <w:lang w:val="zh-CN" w:eastAsia="en-US" w:bidi="en-US"/>
              </w:rPr>
            </w:pPr>
            <w:r>
              <w:rPr>
                <w:rFonts w:ascii="Times New Roman" w:hAnsi="Times New Roman" w:cs="Times New Roman"/>
                <w:color w:val="auto"/>
                <w:szCs w:val="21"/>
              </w:rPr>
              <w:t>气温</w:t>
            </w: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color w:val="auto"/>
                <w:szCs w:val="21"/>
                <w:lang w:val="zh-CN" w:eastAsia="en-US" w:bidi="en-US"/>
              </w:rPr>
            </w:pPr>
            <w:r>
              <w:rPr>
                <w:rFonts w:ascii="Times New Roman" w:hAnsi="Times New Roman" w:cs="Times New Roman"/>
                <w:color w:val="auto"/>
                <w:szCs w:val="21"/>
              </w:rPr>
              <w:t>风向</w:t>
            </w:r>
          </w:p>
        </w:tc>
        <w:tc>
          <w:tcPr>
            <w:tcW w:w="189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color w:val="auto"/>
                <w:szCs w:val="21"/>
                <w:lang w:val="zh-CN" w:eastAsia="en-US" w:bidi="en-US"/>
              </w:rPr>
            </w:pPr>
            <w:r>
              <w:rPr>
                <w:rFonts w:ascii="Times New Roman" w:hAnsi="Times New Roman" w:cs="Times New Roman"/>
                <w:color w:val="auto"/>
                <w:szCs w:val="21"/>
              </w:rPr>
              <w:t>风速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311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color w:val="auto"/>
                <w:szCs w:val="21"/>
              </w:rPr>
            </w:pPr>
          </w:p>
        </w:tc>
        <w:tc>
          <w:tcPr>
            <w:tcW w:w="184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color w:val="auto"/>
                <w:szCs w:val="21"/>
                <w:lang w:val="zh-CN" w:eastAsia="en-US" w:bidi="en-US"/>
              </w:rPr>
            </w:pPr>
          </w:p>
        </w:tc>
        <w:tc>
          <w:tcPr>
            <w:tcW w:w="19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color w:val="auto"/>
                <w:szCs w:val="21"/>
              </w:rPr>
            </w:pPr>
          </w:p>
        </w:tc>
        <w:tc>
          <w:tcPr>
            <w:tcW w:w="189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3" w:hRule="atLeast"/>
        </w:trPr>
        <w:tc>
          <w:tcPr>
            <w:tcW w:w="64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color w:val="auto"/>
                <w:szCs w:val="21"/>
              </w:rPr>
            </w:pPr>
            <w:r>
              <w:rPr>
                <w:rFonts w:ascii="Times New Roman" w:hAnsi="Times New Roman" w:cs="Times New Roman"/>
                <w:color w:val="auto"/>
                <w:szCs w:val="21"/>
              </w:rPr>
              <w:t>监理内容</w:t>
            </w:r>
          </w:p>
        </w:tc>
        <w:tc>
          <w:tcPr>
            <w:tcW w:w="8201"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ind w:firstLine="480"/>
              <w:rPr>
                <w:rFonts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0" w:hRule="atLeast"/>
        </w:trPr>
        <w:tc>
          <w:tcPr>
            <w:tcW w:w="64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color w:val="auto"/>
                <w:szCs w:val="21"/>
              </w:rPr>
            </w:pPr>
            <w:r>
              <w:rPr>
                <w:rFonts w:ascii="Times New Roman" w:hAnsi="Times New Roman" w:cs="Times New Roman"/>
                <w:color w:val="auto"/>
                <w:szCs w:val="21"/>
              </w:rPr>
              <w:t>环保问题及处理结果</w:t>
            </w:r>
          </w:p>
        </w:tc>
        <w:tc>
          <w:tcPr>
            <w:tcW w:w="8201"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ind w:firstLine="480"/>
              <w:rPr>
                <w:rFonts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6" w:hRule="atLeast"/>
        </w:trPr>
        <w:tc>
          <w:tcPr>
            <w:tcW w:w="8842" w:type="dxa"/>
            <w:gridSpan w:val="5"/>
            <w:tcBorders>
              <w:top w:val="single" w:color="auto" w:sz="4" w:space="0"/>
              <w:left w:val="single" w:color="auto" w:sz="4" w:space="0"/>
              <w:bottom w:val="single" w:color="auto" w:sz="4" w:space="0"/>
              <w:right w:val="single" w:color="auto" w:sz="4" w:space="0"/>
            </w:tcBorders>
            <w:vAlign w:val="center"/>
          </w:tcPr>
          <w:p>
            <w:pPr>
              <w:spacing w:line="360" w:lineRule="auto"/>
              <w:ind w:firstLine="480"/>
              <w:rPr>
                <w:rFonts w:ascii="Times New Roman" w:hAnsi="Times New Roman" w:cs="Times New Roman"/>
                <w:color w:val="auto"/>
                <w:szCs w:val="21"/>
              </w:rPr>
            </w:pPr>
            <w:r>
              <w:rPr>
                <w:rFonts w:ascii="Times New Roman" w:hAnsi="Times New Roman" w:cs="Times New Roman"/>
                <w:color w:val="auto"/>
                <w:szCs w:val="21"/>
              </w:rPr>
              <w:t>环境监理人员（签字）：                  审核（签字）：</w:t>
            </w:r>
          </w:p>
          <w:p>
            <w:pPr>
              <w:spacing w:line="360" w:lineRule="auto"/>
              <w:ind w:firstLine="480"/>
              <w:rPr>
                <w:rFonts w:ascii="Times New Roman" w:hAnsi="Times New Roman" w:cs="Times New Roman"/>
                <w:color w:val="auto"/>
                <w:szCs w:val="21"/>
              </w:rPr>
            </w:pPr>
          </w:p>
          <w:p>
            <w:pPr>
              <w:spacing w:line="360" w:lineRule="auto"/>
              <w:ind w:firstLine="480"/>
              <w:rPr>
                <w:rFonts w:ascii="Times New Roman" w:hAnsi="Times New Roman" w:cs="Times New Roman"/>
                <w:color w:val="auto"/>
                <w:szCs w:val="21"/>
              </w:rPr>
            </w:pPr>
            <w:r>
              <w:rPr>
                <w:rFonts w:ascii="Times New Roman" w:hAnsi="Times New Roman" w:cs="Times New Roman"/>
                <w:color w:val="auto"/>
                <w:szCs w:val="21"/>
              </w:rPr>
              <w:t>日期：                                  日期：</w:t>
            </w:r>
          </w:p>
        </w:tc>
      </w:tr>
    </w:tbl>
    <w:p>
      <w:pPr>
        <w:widowControl/>
        <w:spacing w:line="360" w:lineRule="auto"/>
        <w:jc w:val="left"/>
        <w:rPr>
          <w:rFonts w:ascii="Times New Roman" w:hAnsi="Times New Roman" w:eastAsia="等线" w:cs="Times New Roman"/>
          <w:color w:val="auto"/>
          <w:szCs w:val="21"/>
        </w:rPr>
        <w:sectPr>
          <w:pgSz w:w="11906" w:h="16838"/>
          <w:pgMar w:top="1440" w:right="1440" w:bottom="1440" w:left="1440" w:header="851" w:footer="992" w:gutter="0"/>
          <w:cols w:space="720" w:num="1"/>
          <w:docGrid w:type="lines" w:linePitch="312" w:charSpace="0"/>
        </w:sectPr>
      </w:pPr>
    </w:p>
    <w:p>
      <w:pPr>
        <w:pStyle w:val="15"/>
        <w:spacing w:after="312" w:afterLines="100" w:line="360" w:lineRule="auto"/>
        <w:ind w:left="545"/>
        <w:jc w:val="center"/>
        <w:rPr>
          <w:rFonts w:ascii="Times New Roman" w:hAnsi="Times New Roman" w:cs="Times New Roman"/>
          <w:color w:val="auto"/>
          <w:szCs w:val="21"/>
        </w:rPr>
        <w:sectPr>
          <w:type w:val="continuous"/>
          <w:pgSz w:w="11906" w:h="16838"/>
          <w:pgMar w:top="1440" w:right="1440" w:bottom="1440" w:left="1440" w:header="851" w:footer="992" w:gutter="0"/>
          <w:cols w:space="720" w:num="1"/>
          <w:docGrid w:type="lines" w:linePitch="312" w:charSpace="0"/>
        </w:sectPr>
      </w:pPr>
    </w:p>
    <w:p>
      <w:pPr>
        <w:pStyle w:val="138"/>
        <w:numPr>
          <w:ilvl w:val="2"/>
          <w:numId w:val="23"/>
        </w:numPr>
        <w:spacing w:before="120" w:after="120" w:line="360" w:lineRule="auto"/>
        <w:jc w:val="center"/>
        <w:outlineLvl w:val="2"/>
        <w:rPr>
          <w:rFonts w:ascii="Times New Roman"/>
          <w:color w:val="auto"/>
          <w:kern w:val="10"/>
          <w:sz w:val="24"/>
          <w:szCs w:val="24"/>
        </w:rPr>
      </w:pPr>
      <w:r>
        <w:rPr>
          <w:rFonts w:hint="eastAsia" w:ascii="Times New Roman"/>
          <w:color w:val="auto"/>
          <w:kern w:val="10"/>
          <w:sz w:val="24"/>
          <w:szCs w:val="24"/>
        </w:rPr>
        <w:t>突发环境事件</w:t>
      </w:r>
      <w:r>
        <w:rPr>
          <w:rFonts w:ascii="Times New Roman"/>
          <w:color w:val="auto"/>
          <w:kern w:val="10"/>
          <w:sz w:val="24"/>
          <w:szCs w:val="24"/>
        </w:rPr>
        <w:t>报告单</w:t>
      </w:r>
    </w:p>
    <w:p>
      <w:pPr>
        <w:pStyle w:val="59"/>
        <w:numPr>
          <w:ilvl w:val="0"/>
          <w:numId w:val="24"/>
        </w:numPr>
        <w:spacing w:line="360" w:lineRule="auto"/>
        <w:ind w:firstLineChars="0"/>
        <w:rPr>
          <w:rFonts w:ascii="Times New Roman" w:hAnsi="Times New Roman" w:cs="Times New Roman"/>
          <w:color w:val="auto"/>
        </w:rPr>
      </w:pPr>
      <w:r>
        <w:rPr>
          <w:rFonts w:ascii="Times New Roman" w:hAnsi="Times New Roman" w:cs="Times New Roman"/>
          <w:color w:val="auto"/>
        </w:rPr>
        <w:t>工程名称：                                                      编号：XXXXXX</w:t>
      </w:r>
    </w:p>
    <w:tbl>
      <w:tblPr>
        <w:tblStyle w:val="45"/>
        <w:tblW w:w="92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2" w:hRule="atLeast"/>
        </w:trPr>
        <w:tc>
          <w:tcPr>
            <w:tcW w:w="9260" w:type="dxa"/>
          </w:tcPr>
          <w:p>
            <w:pPr>
              <w:spacing w:line="360" w:lineRule="auto"/>
              <w:rPr>
                <w:rFonts w:ascii="Times New Roman" w:hAnsi="Times New Roman" w:cs="Times New Roman"/>
                <w:color w:val="auto"/>
                <w:sz w:val="18"/>
                <w:szCs w:val="18"/>
              </w:rPr>
            </w:pPr>
          </w:p>
          <w:p>
            <w:pPr>
              <w:spacing w:line="360" w:lineRule="auto"/>
              <w:rPr>
                <w:rFonts w:ascii="Times New Roman" w:hAnsi="Times New Roman" w:cs="Times New Roman"/>
                <w:color w:val="auto"/>
                <w:sz w:val="20"/>
                <w:szCs w:val="18"/>
              </w:rPr>
            </w:pPr>
            <w:r>
              <w:rPr>
                <w:rFonts w:ascii="Times New Roman" w:hAnsi="Times New Roman" w:cs="Times New Roman"/>
                <w:color w:val="auto"/>
                <w:sz w:val="20"/>
                <w:szCs w:val="18"/>
              </w:rPr>
              <w:t>致</w:t>
            </w:r>
            <w:r>
              <w:rPr>
                <w:rFonts w:hint="eastAsia" w:ascii="Times New Roman" w:hAnsi="Times New Roman" w:cs="Times New Roman"/>
                <w:color w:val="auto"/>
                <w:sz w:val="20"/>
                <w:szCs w:val="18"/>
              </w:rPr>
              <w:t>环境监理单位：</w:t>
            </w:r>
            <w:r>
              <w:rPr>
                <w:rFonts w:ascii="Times New Roman" w:hAnsi="Times New Roman" w:cs="Times New Roman"/>
                <w:color w:val="auto"/>
                <w:sz w:val="20"/>
                <w:szCs w:val="18"/>
                <w:u w:val="single"/>
              </w:rPr>
              <w:t xml:space="preserve">                             </w:t>
            </w:r>
          </w:p>
          <w:p>
            <w:pPr>
              <w:spacing w:line="360" w:lineRule="auto"/>
              <w:ind w:firstLine="400" w:firstLineChars="200"/>
              <w:rPr>
                <w:rFonts w:ascii="Times New Roman" w:hAnsi="Times New Roman" w:cs="Times New Roman"/>
                <w:color w:val="auto"/>
                <w:sz w:val="20"/>
                <w:szCs w:val="18"/>
                <w:u w:val="single"/>
              </w:rPr>
            </w:pPr>
            <w:r>
              <w:rPr>
                <w:rFonts w:ascii="Times New Roman" w:hAnsi="Times New Roman" w:cs="Times New Roman"/>
                <w:color w:val="auto"/>
                <w:sz w:val="20"/>
                <w:szCs w:val="18"/>
                <w:u w:val="single"/>
              </w:rPr>
              <w:t xml:space="preserve">     </w:t>
            </w:r>
            <w:r>
              <w:rPr>
                <w:rFonts w:ascii="Times New Roman" w:hAnsi="Times New Roman" w:cs="Times New Roman"/>
                <w:color w:val="auto"/>
                <w:sz w:val="20"/>
                <w:szCs w:val="18"/>
              </w:rPr>
              <w:t>年</w:t>
            </w:r>
            <w:r>
              <w:rPr>
                <w:rFonts w:ascii="Times New Roman" w:hAnsi="Times New Roman" w:cs="Times New Roman"/>
                <w:color w:val="auto"/>
                <w:sz w:val="20"/>
                <w:szCs w:val="18"/>
                <w:u w:val="single"/>
              </w:rPr>
              <w:t xml:space="preserve">     </w:t>
            </w:r>
            <w:r>
              <w:rPr>
                <w:rFonts w:ascii="Times New Roman" w:hAnsi="Times New Roman" w:cs="Times New Roman"/>
                <w:color w:val="auto"/>
                <w:sz w:val="20"/>
                <w:szCs w:val="18"/>
              </w:rPr>
              <w:t>月</w:t>
            </w:r>
            <w:r>
              <w:rPr>
                <w:rFonts w:ascii="Times New Roman" w:hAnsi="Times New Roman" w:cs="Times New Roman"/>
                <w:color w:val="auto"/>
                <w:sz w:val="20"/>
                <w:szCs w:val="18"/>
                <w:u w:val="single"/>
              </w:rPr>
              <w:t xml:space="preserve">    </w:t>
            </w:r>
            <w:r>
              <w:rPr>
                <w:rFonts w:ascii="Times New Roman" w:hAnsi="Times New Roman" w:cs="Times New Roman"/>
                <w:color w:val="auto"/>
                <w:sz w:val="20"/>
                <w:szCs w:val="18"/>
              </w:rPr>
              <w:t>日</w:t>
            </w:r>
            <w:r>
              <w:rPr>
                <w:rFonts w:ascii="Times New Roman" w:hAnsi="Times New Roman" w:cs="Times New Roman"/>
                <w:color w:val="auto"/>
                <w:sz w:val="20"/>
                <w:szCs w:val="18"/>
                <w:u w:val="single"/>
              </w:rPr>
              <w:t xml:space="preserve">    </w:t>
            </w:r>
            <w:r>
              <w:rPr>
                <w:rFonts w:ascii="Times New Roman" w:hAnsi="Times New Roman" w:cs="Times New Roman"/>
                <w:color w:val="auto"/>
                <w:sz w:val="20"/>
                <w:szCs w:val="18"/>
              </w:rPr>
              <w:t>时，在</w:t>
            </w:r>
            <w:r>
              <w:rPr>
                <w:rFonts w:hint="eastAsia" w:ascii="Times New Roman" w:hAnsi="Times New Roman" w:cs="Times New Roman"/>
                <w:color w:val="auto"/>
                <w:sz w:val="20"/>
                <w:szCs w:val="18"/>
                <w:u w:val="single"/>
              </w:rPr>
              <w:t xml:space="preserve">        </w:t>
            </w:r>
            <w:r>
              <w:rPr>
                <w:rFonts w:ascii="Times New Roman" w:hAnsi="Times New Roman" w:cs="Times New Roman"/>
                <w:color w:val="auto"/>
                <w:sz w:val="20"/>
                <w:szCs w:val="18"/>
              </w:rPr>
              <w:t>部位（详见设计图纸），发生环境污染/生态破坏</w:t>
            </w:r>
            <w:r>
              <w:rPr>
                <w:rFonts w:hint="eastAsia" w:ascii="Times New Roman" w:hAnsi="Times New Roman" w:cs="Times New Roman"/>
                <w:color w:val="auto"/>
                <w:sz w:val="20"/>
                <w:szCs w:val="18"/>
              </w:rPr>
              <w:t>事件</w:t>
            </w:r>
            <w:r>
              <w:rPr>
                <w:rFonts w:ascii="Times New Roman" w:hAnsi="Times New Roman" w:cs="Times New Roman"/>
                <w:color w:val="auto"/>
                <w:sz w:val="20"/>
                <w:szCs w:val="18"/>
              </w:rPr>
              <w:t>，报告如下：</w:t>
            </w:r>
          </w:p>
          <w:p>
            <w:pPr>
              <w:spacing w:line="360" w:lineRule="auto"/>
              <w:rPr>
                <w:rFonts w:ascii="Times New Roman" w:hAnsi="Times New Roman" w:cs="Times New Roman"/>
                <w:color w:val="auto"/>
                <w:sz w:val="20"/>
                <w:szCs w:val="18"/>
              </w:rPr>
            </w:pPr>
            <w:r>
              <w:rPr>
                <w:rFonts w:ascii="Times New Roman" w:hAnsi="Times New Roman" w:cs="Times New Roman"/>
                <w:color w:val="auto"/>
                <w:sz w:val="20"/>
                <w:szCs w:val="18"/>
              </w:rPr>
              <w:t>问题（</w:t>
            </w:r>
            <w:r>
              <w:rPr>
                <w:rFonts w:hint="eastAsia" w:ascii="Times New Roman" w:hAnsi="Times New Roman" w:cs="Times New Roman"/>
                <w:color w:val="auto"/>
                <w:sz w:val="20"/>
                <w:szCs w:val="18"/>
              </w:rPr>
              <w:t>事件</w:t>
            </w:r>
            <w:r>
              <w:rPr>
                <w:rFonts w:ascii="Times New Roman" w:hAnsi="Times New Roman" w:cs="Times New Roman"/>
                <w:color w:val="auto"/>
                <w:sz w:val="20"/>
                <w:szCs w:val="18"/>
              </w:rPr>
              <w:t>）经过及原因初步分析：</w:t>
            </w:r>
          </w:p>
          <w:p>
            <w:pPr>
              <w:spacing w:line="360" w:lineRule="auto"/>
              <w:rPr>
                <w:rFonts w:ascii="Times New Roman" w:hAnsi="Times New Roman" w:cs="Times New Roman"/>
                <w:color w:val="auto"/>
                <w:sz w:val="20"/>
                <w:szCs w:val="18"/>
              </w:rPr>
            </w:pPr>
          </w:p>
          <w:p>
            <w:pPr>
              <w:spacing w:line="360" w:lineRule="auto"/>
              <w:rPr>
                <w:rFonts w:ascii="Times New Roman" w:hAnsi="Times New Roman" w:cs="Times New Roman"/>
                <w:color w:val="auto"/>
                <w:sz w:val="20"/>
                <w:szCs w:val="18"/>
              </w:rPr>
            </w:pPr>
            <w:r>
              <w:rPr>
                <w:rFonts w:ascii="Times New Roman" w:hAnsi="Times New Roman" w:cs="Times New Roman"/>
                <w:color w:val="auto"/>
                <w:sz w:val="20"/>
                <w:szCs w:val="18"/>
              </w:rPr>
              <w:t>环境污染/生态破坏情况：</w:t>
            </w:r>
          </w:p>
          <w:p>
            <w:pPr>
              <w:spacing w:line="360" w:lineRule="auto"/>
              <w:rPr>
                <w:rFonts w:ascii="Times New Roman" w:hAnsi="Times New Roman" w:cs="Times New Roman"/>
                <w:color w:val="auto"/>
                <w:sz w:val="20"/>
                <w:szCs w:val="18"/>
              </w:rPr>
            </w:pPr>
          </w:p>
          <w:p>
            <w:pPr>
              <w:spacing w:line="360" w:lineRule="auto"/>
              <w:rPr>
                <w:rFonts w:ascii="Times New Roman" w:hAnsi="Times New Roman" w:cs="Times New Roman"/>
                <w:color w:val="auto"/>
                <w:sz w:val="20"/>
                <w:szCs w:val="18"/>
              </w:rPr>
            </w:pPr>
            <w:r>
              <w:rPr>
                <w:rFonts w:ascii="Times New Roman" w:hAnsi="Times New Roman" w:cs="Times New Roman"/>
                <w:color w:val="auto"/>
                <w:sz w:val="20"/>
                <w:szCs w:val="18"/>
              </w:rPr>
              <w:t>补救措施及初步处理意见：</w:t>
            </w:r>
          </w:p>
          <w:p>
            <w:pPr>
              <w:spacing w:line="360" w:lineRule="auto"/>
              <w:rPr>
                <w:rFonts w:ascii="Times New Roman" w:hAnsi="Times New Roman" w:cs="Times New Roman"/>
                <w:color w:val="auto"/>
                <w:sz w:val="20"/>
                <w:szCs w:val="18"/>
              </w:rPr>
            </w:pPr>
          </w:p>
          <w:p>
            <w:pPr>
              <w:spacing w:line="360" w:lineRule="auto"/>
              <w:rPr>
                <w:rFonts w:ascii="Times New Roman" w:hAnsi="Times New Roman" w:cs="Times New Roman"/>
                <w:color w:val="auto"/>
                <w:sz w:val="20"/>
                <w:szCs w:val="18"/>
              </w:rPr>
            </w:pPr>
          </w:p>
          <w:p>
            <w:pPr>
              <w:spacing w:line="360" w:lineRule="auto"/>
              <w:rPr>
                <w:rFonts w:ascii="Times New Roman" w:hAnsi="Times New Roman" w:cs="Times New Roman"/>
                <w:color w:val="auto"/>
                <w:sz w:val="20"/>
                <w:szCs w:val="18"/>
              </w:rPr>
            </w:pPr>
            <w:r>
              <w:rPr>
                <w:rFonts w:ascii="Times New Roman" w:hAnsi="Times New Roman" w:cs="Times New Roman"/>
                <w:color w:val="auto"/>
                <w:sz w:val="20"/>
                <w:szCs w:val="18"/>
              </w:rPr>
              <w:t>待进一步调查后，再另作详细报告，并提出处理方案上报。</w:t>
            </w:r>
          </w:p>
          <w:p>
            <w:pPr>
              <w:spacing w:line="360" w:lineRule="auto"/>
              <w:rPr>
                <w:rFonts w:ascii="Times New Roman" w:hAnsi="Times New Roman" w:cs="Times New Roman"/>
                <w:color w:val="auto"/>
                <w:sz w:val="20"/>
                <w:szCs w:val="18"/>
              </w:rPr>
            </w:pPr>
          </w:p>
          <w:p>
            <w:pPr>
              <w:spacing w:line="276" w:lineRule="auto"/>
              <w:ind w:firstLine="5670" w:firstLineChars="2835"/>
              <w:rPr>
                <w:rFonts w:ascii="Times New Roman" w:hAnsi="Times New Roman" w:cs="Times New Roman"/>
                <w:color w:val="auto"/>
                <w:sz w:val="20"/>
                <w:szCs w:val="18"/>
              </w:rPr>
            </w:pPr>
            <w:r>
              <w:rPr>
                <w:rFonts w:ascii="Times New Roman" w:hAnsi="Times New Roman" w:cs="Times New Roman"/>
                <w:color w:val="auto"/>
                <w:sz w:val="20"/>
                <w:szCs w:val="18"/>
              </w:rPr>
              <w:t>施工单位（盖章）：</w:t>
            </w:r>
          </w:p>
          <w:p>
            <w:pPr>
              <w:spacing w:line="276" w:lineRule="auto"/>
              <w:ind w:firstLine="5670" w:firstLineChars="2835"/>
              <w:rPr>
                <w:rFonts w:ascii="Times New Roman" w:hAnsi="Times New Roman" w:cs="Times New Roman"/>
                <w:color w:val="auto"/>
                <w:sz w:val="20"/>
                <w:szCs w:val="18"/>
              </w:rPr>
            </w:pPr>
            <w:r>
              <w:rPr>
                <w:rFonts w:ascii="Times New Roman" w:hAnsi="Times New Roman" w:cs="Times New Roman"/>
                <w:color w:val="auto"/>
                <w:sz w:val="20"/>
                <w:szCs w:val="18"/>
              </w:rPr>
              <w:t>项目经理（签字）：</w:t>
            </w:r>
          </w:p>
          <w:p>
            <w:pPr>
              <w:spacing w:line="276" w:lineRule="auto"/>
              <w:ind w:firstLine="5670" w:firstLineChars="2835"/>
              <w:rPr>
                <w:rFonts w:ascii="Times New Roman" w:hAnsi="Times New Roman" w:cs="Times New Roman"/>
                <w:color w:val="auto"/>
                <w:sz w:val="18"/>
                <w:szCs w:val="18"/>
              </w:rPr>
            </w:pPr>
            <w:r>
              <w:rPr>
                <w:rFonts w:ascii="Times New Roman" w:hAnsi="Times New Roman" w:cs="Times New Roman"/>
                <w:color w:val="auto"/>
                <w:sz w:val="20"/>
                <w:szCs w:val="18"/>
              </w:rPr>
              <w:t>日期：</w:t>
            </w:r>
            <w:r>
              <w:rPr>
                <w:rFonts w:ascii="Times New Roman" w:hAnsi="Times New Roman" w:cs="Times New Roman"/>
                <w:color w:val="auto"/>
                <w:sz w:val="20"/>
                <w:szCs w:val="18"/>
                <w:u w:val="single"/>
              </w:rPr>
              <w:t xml:space="preserve">    </w:t>
            </w:r>
            <w:r>
              <w:rPr>
                <w:rFonts w:ascii="Times New Roman" w:hAnsi="Times New Roman" w:cs="Times New Roman"/>
                <w:color w:val="auto"/>
                <w:sz w:val="20"/>
                <w:szCs w:val="18"/>
              </w:rPr>
              <w:t>年</w:t>
            </w:r>
            <w:r>
              <w:rPr>
                <w:rFonts w:ascii="Times New Roman" w:hAnsi="Times New Roman" w:cs="Times New Roman"/>
                <w:color w:val="auto"/>
                <w:sz w:val="20"/>
                <w:szCs w:val="18"/>
                <w:u w:val="single"/>
              </w:rPr>
              <w:t xml:space="preserve">     </w:t>
            </w:r>
            <w:r>
              <w:rPr>
                <w:rFonts w:ascii="Times New Roman" w:hAnsi="Times New Roman" w:cs="Times New Roman"/>
                <w:color w:val="auto"/>
                <w:sz w:val="20"/>
                <w:szCs w:val="18"/>
              </w:rPr>
              <w:t>月</w:t>
            </w:r>
            <w:r>
              <w:rPr>
                <w:rFonts w:ascii="Times New Roman" w:hAnsi="Times New Roman" w:cs="Times New Roman"/>
                <w:color w:val="auto"/>
                <w:sz w:val="20"/>
                <w:szCs w:val="18"/>
                <w:u w:val="single"/>
              </w:rPr>
              <w:t xml:space="preserve">    </w:t>
            </w:r>
            <w:r>
              <w:rPr>
                <w:rFonts w:ascii="Times New Roman" w:hAnsi="Times New Roman" w:cs="Times New Roman"/>
                <w:color w:val="auto"/>
                <w:sz w:val="20"/>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83" w:hRule="atLeast"/>
        </w:trPr>
        <w:tc>
          <w:tcPr>
            <w:tcW w:w="9260" w:type="dxa"/>
          </w:tcPr>
          <w:p>
            <w:pPr>
              <w:spacing w:line="360" w:lineRule="auto"/>
              <w:rPr>
                <w:rFonts w:ascii="Times New Roman" w:hAnsi="Times New Roman" w:cs="Times New Roman"/>
                <w:color w:val="auto"/>
                <w:sz w:val="20"/>
                <w:szCs w:val="18"/>
              </w:rPr>
            </w:pPr>
            <w:r>
              <w:rPr>
                <w:rFonts w:ascii="Times New Roman" w:hAnsi="Times New Roman" w:cs="Times New Roman"/>
                <w:color w:val="auto"/>
                <w:sz w:val="20"/>
                <w:szCs w:val="18"/>
              </w:rPr>
              <w:t>环境监理单位意见：</w:t>
            </w:r>
          </w:p>
          <w:p>
            <w:pPr>
              <w:spacing w:line="360" w:lineRule="auto"/>
              <w:rPr>
                <w:rFonts w:ascii="Times New Roman" w:hAnsi="Times New Roman" w:cs="Times New Roman"/>
                <w:color w:val="auto"/>
                <w:sz w:val="20"/>
                <w:szCs w:val="18"/>
              </w:rPr>
            </w:pPr>
          </w:p>
          <w:p>
            <w:pPr>
              <w:spacing w:line="360" w:lineRule="auto"/>
              <w:rPr>
                <w:rFonts w:ascii="Times New Roman" w:hAnsi="Times New Roman" w:cs="Times New Roman"/>
                <w:color w:val="auto"/>
                <w:sz w:val="20"/>
                <w:szCs w:val="18"/>
              </w:rPr>
            </w:pPr>
          </w:p>
          <w:p>
            <w:pPr>
              <w:spacing w:line="360" w:lineRule="auto"/>
              <w:rPr>
                <w:rFonts w:ascii="Times New Roman" w:hAnsi="Times New Roman" w:cs="Times New Roman"/>
                <w:color w:val="auto"/>
                <w:sz w:val="20"/>
                <w:szCs w:val="18"/>
              </w:rPr>
            </w:pPr>
          </w:p>
          <w:p>
            <w:pPr>
              <w:spacing w:line="276" w:lineRule="auto"/>
              <w:ind w:left="5670" w:leftChars="2699" w:hanging="2"/>
              <w:rPr>
                <w:rFonts w:ascii="Times New Roman" w:hAnsi="Times New Roman" w:cs="Times New Roman"/>
                <w:color w:val="auto"/>
                <w:sz w:val="20"/>
                <w:szCs w:val="18"/>
              </w:rPr>
            </w:pPr>
            <w:r>
              <w:rPr>
                <w:rFonts w:ascii="Times New Roman" w:hAnsi="Times New Roman" w:cs="Times New Roman"/>
                <w:color w:val="auto"/>
                <w:szCs w:val="21"/>
              </w:rPr>
              <w:t xml:space="preserve">                                     </w:t>
            </w:r>
            <w:r>
              <w:rPr>
                <w:rFonts w:ascii="Times New Roman" w:hAnsi="Times New Roman" w:cs="Times New Roman"/>
                <w:color w:val="auto"/>
                <w:sz w:val="20"/>
                <w:szCs w:val="18"/>
              </w:rPr>
              <w:t>环境监理单位（盖章）：</w:t>
            </w:r>
          </w:p>
          <w:p>
            <w:pPr>
              <w:spacing w:line="276" w:lineRule="auto"/>
              <w:ind w:firstLine="5670" w:firstLineChars="2835"/>
              <w:rPr>
                <w:rFonts w:ascii="Times New Roman" w:hAnsi="Times New Roman" w:cs="Times New Roman"/>
                <w:color w:val="auto"/>
                <w:sz w:val="20"/>
                <w:szCs w:val="18"/>
              </w:rPr>
            </w:pPr>
            <w:r>
              <w:rPr>
                <w:rFonts w:ascii="Times New Roman" w:hAnsi="Times New Roman" w:cs="Times New Roman"/>
                <w:color w:val="auto"/>
                <w:sz w:val="20"/>
                <w:szCs w:val="18"/>
              </w:rPr>
              <w:t>环境监理项目负责人（签字）：</w:t>
            </w:r>
          </w:p>
          <w:p>
            <w:pPr>
              <w:spacing w:line="276" w:lineRule="auto"/>
              <w:ind w:firstLine="5670" w:firstLineChars="2835"/>
              <w:rPr>
                <w:rFonts w:ascii="Times New Roman" w:hAnsi="Times New Roman" w:cs="Times New Roman"/>
                <w:color w:val="auto"/>
                <w:sz w:val="20"/>
                <w:szCs w:val="18"/>
              </w:rPr>
            </w:pPr>
            <w:r>
              <w:rPr>
                <w:rFonts w:ascii="Times New Roman" w:hAnsi="Times New Roman" w:cs="Times New Roman"/>
                <w:color w:val="auto"/>
                <w:sz w:val="20"/>
                <w:szCs w:val="18"/>
              </w:rPr>
              <w:t>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57" w:hRule="atLeast"/>
        </w:trPr>
        <w:tc>
          <w:tcPr>
            <w:tcW w:w="9260" w:type="dxa"/>
          </w:tcPr>
          <w:p>
            <w:pPr>
              <w:spacing w:line="360" w:lineRule="auto"/>
              <w:rPr>
                <w:rFonts w:ascii="Times New Roman" w:hAnsi="Times New Roman" w:cs="Times New Roman"/>
                <w:color w:val="auto"/>
                <w:sz w:val="20"/>
                <w:szCs w:val="18"/>
              </w:rPr>
            </w:pPr>
            <w:r>
              <w:rPr>
                <w:rFonts w:hint="eastAsia" w:ascii="Times New Roman" w:hAnsi="Times New Roman" w:cs="Times New Roman"/>
                <w:color w:val="auto"/>
                <w:sz w:val="20"/>
                <w:szCs w:val="18"/>
              </w:rPr>
              <w:t>土壤污染修复责任主体</w:t>
            </w:r>
            <w:r>
              <w:rPr>
                <w:rFonts w:ascii="Times New Roman" w:hAnsi="Times New Roman" w:cs="Times New Roman"/>
                <w:color w:val="auto"/>
                <w:sz w:val="20"/>
                <w:szCs w:val="18"/>
              </w:rPr>
              <w:t>意见：</w:t>
            </w:r>
          </w:p>
          <w:p>
            <w:pPr>
              <w:spacing w:line="276" w:lineRule="auto"/>
              <w:ind w:left="5618" w:leftChars="2675" w:firstLine="48" w:firstLineChars="24"/>
              <w:rPr>
                <w:rFonts w:ascii="Times New Roman" w:hAnsi="Times New Roman" w:cs="Times New Roman"/>
                <w:color w:val="auto"/>
                <w:sz w:val="20"/>
                <w:szCs w:val="18"/>
              </w:rPr>
            </w:pPr>
          </w:p>
          <w:p>
            <w:pPr>
              <w:spacing w:line="276" w:lineRule="auto"/>
              <w:ind w:left="5618" w:leftChars="2675" w:firstLine="48" w:firstLineChars="24"/>
              <w:rPr>
                <w:rFonts w:ascii="Times New Roman" w:hAnsi="Times New Roman" w:cs="Times New Roman"/>
                <w:color w:val="auto"/>
                <w:sz w:val="20"/>
                <w:szCs w:val="18"/>
              </w:rPr>
            </w:pPr>
          </w:p>
          <w:p>
            <w:pPr>
              <w:spacing w:line="276" w:lineRule="auto"/>
              <w:ind w:left="5618" w:leftChars="2675" w:firstLine="48" w:firstLineChars="24"/>
              <w:rPr>
                <w:rFonts w:ascii="Times New Roman" w:hAnsi="Times New Roman" w:cs="Times New Roman"/>
                <w:color w:val="auto"/>
                <w:sz w:val="20"/>
                <w:szCs w:val="18"/>
              </w:rPr>
            </w:pPr>
            <w:r>
              <w:rPr>
                <w:rFonts w:ascii="Times New Roman" w:hAnsi="Times New Roman" w:cs="Times New Roman"/>
                <w:color w:val="auto"/>
                <w:sz w:val="20"/>
                <w:szCs w:val="18"/>
              </w:rPr>
              <w:t xml:space="preserve">                                </w:t>
            </w:r>
            <w:r>
              <w:rPr>
                <w:rFonts w:hint="eastAsia" w:ascii="Times New Roman" w:hAnsi="Times New Roman" w:cs="Times New Roman"/>
                <w:color w:val="auto"/>
                <w:sz w:val="20"/>
                <w:szCs w:val="18"/>
              </w:rPr>
              <w:t>土壤污染修复责任主体</w:t>
            </w:r>
            <w:r>
              <w:rPr>
                <w:rFonts w:ascii="Times New Roman" w:hAnsi="Times New Roman" w:cs="Times New Roman"/>
                <w:color w:val="auto"/>
                <w:sz w:val="20"/>
                <w:szCs w:val="18"/>
              </w:rPr>
              <w:t>（盖章）：</w:t>
            </w:r>
          </w:p>
          <w:p>
            <w:pPr>
              <w:spacing w:line="276" w:lineRule="auto"/>
              <w:ind w:left="5408" w:leftChars="2575" w:firstLine="248" w:firstLineChars="124"/>
              <w:rPr>
                <w:rFonts w:ascii="Times New Roman" w:hAnsi="Times New Roman" w:cs="Times New Roman"/>
                <w:color w:val="auto"/>
                <w:sz w:val="20"/>
                <w:szCs w:val="18"/>
              </w:rPr>
            </w:pPr>
            <w:r>
              <w:rPr>
                <w:rFonts w:ascii="Times New Roman" w:hAnsi="Times New Roman" w:cs="Times New Roman"/>
                <w:color w:val="auto"/>
                <w:sz w:val="20"/>
                <w:szCs w:val="18"/>
              </w:rPr>
              <w:t>负责人或代表（签字）：</w:t>
            </w:r>
          </w:p>
          <w:p>
            <w:pPr>
              <w:spacing w:line="276" w:lineRule="auto"/>
              <w:ind w:left="5408" w:leftChars="2575" w:firstLine="248" w:firstLineChars="124"/>
              <w:rPr>
                <w:rFonts w:ascii="Times New Roman" w:hAnsi="Times New Roman" w:cs="Times New Roman"/>
                <w:color w:val="auto"/>
                <w:sz w:val="20"/>
                <w:szCs w:val="18"/>
              </w:rPr>
            </w:pPr>
            <w:r>
              <w:rPr>
                <w:rFonts w:ascii="Times New Roman" w:hAnsi="Times New Roman" w:cs="Times New Roman"/>
                <w:color w:val="auto"/>
                <w:sz w:val="20"/>
                <w:szCs w:val="18"/>
              </w:rPr>
              <w:t>日期：    年     月    日</w:t>
            </w:r>
          </w:p>
          <w:p>
            <w:pPr>
              <w:spacing w:line="276" w:lineRule="auto"/>
              <w:ind w:left="5408" w:leftChars="2575" w:firstLine="248" w:firstLineChars="124"/>
              <w:rPr>
                <w:rFonts w:ascii="Times New Roman" w:hAnsi="Times New Roman" w:cs="Times New Roman"/>
                <w:color w:val="auto"/>
                <w:sz w:val="20"/>
                <w:szCs w:val="18"/>
              </w:rPr>
            </w:pPr>
          </w:p>
        </w:tc>
      </w:tr>
    </w:tbl>
    <w:p>
      <w:pPr>
        <w:autoSpaceDE w:val="0"/>
        <w:autoSpaceDN w:val="0"/>
        <w:adjustRightInd w:val="0"/>
        <w:spacing w:line="360" w:lineRule="auto"/>
        <w:jc w:val="left"/>
        <w:rPr>
          <w:rFonts w:ascii="Times New Roman" w:hAnsi="Times New Roman" w:cs="Times New Roman"/>
          <w:color w:val="auto"/>
          <w:sz w:val="20"/>
          <w:szCs w:val="18"/>
        </w:rPr>
        <w:sectPr>
          <w:pgSz w:w="11906" w:h="16838"/>
          <w:pgMar w:top="1440" w:right="1440" w:bottom="1440" w:left="1440" w:header="851" w:footer="992" w:gutter="0"/>
          <w:cols w:space="720" w:num="1"/>
        </w:sectPr>
      </w:pPr>
      <w:r>
        <w:rPr>
          <w:rFonts w:ascii="Times New Roman" w:hAnsi="Times New Roman" w:cs="Times New Roman"/>
          <w:color w:val="auto"/>
          <w:sz w:val="20"/>
          <w:szCs w:val="18"/>
        </w:rPr>
        <w:tab/>
      </w:r>
    </w:p>
    <w:p>
      <w:pPr>
        <w:autoSpaceDE w:val="0"/>
        <w:autoSpaceDN w:val="0"/>
        <w:adjustRightInd w:val="0"/>
        <w:spacing w:line="360" w:lineRule="auto"/>
        <w:jc w:val="left"/>
        <w:rPr>
          <w:rFonts w:ascii="Times New Roman" w:hAnsi="Times New Roman" w:cs="Times New Roman"/>
          <w:color w:val="auto"/>
          <w:sz w:val="22"/>
        </w:rPr>
      </w:pPr>
    </w:p>
    <w:p>
      <w:pPr>
        <w:widowControl/>
        <w:numPr>
          <w:ilvl w:val="1"/>
          <w:numId w:val="23"/>
        </w:numPr>
        <w:spacing w:before="120" w:beforeLines="50" w:after="240" w:afterLines="100"/>
        <w:jc w:val="center"/>
        <w:outlineLvl w:val="0"/>
        <w:rPr>
          <w:rFonts w:ascii="Times New Roman" w:hAnsi="Times New Roman" w:eastAsia="黑体" w:cs="Times New Roman"/>
          <w:color w:val="auto"/>
          <w:kern w:val="0"/>
          <w:sz w:val="24"/>
          <w:szCs w:val="20"/>
        </w:rPr>
      </w:pPr>
      <w:bookmarkStart w:id="114" w:name="_Toc18532"/>
      <w:r>
        <w:rPr>
          <w:rFonts w:ascii="Times New Roman" w:hAnsi="Times New Roman" w:eastAsia="黑体" w:cs="Times New Roman"/>
          <w:color w:val="auto"/>
          <w:kern w:val="0"/>
          <w:sz w:val="24"/>
          <w:szCs w:val="20"/>
        </w:rPr>
        <w:t>环境监理方案编制大纲</w:t>
      </w:r>
      <w:bookmarkEnd w:id="112"/>
      <w:bookmarkEnd w:id="113"/>
      <w:bookmarkEnd w:id="114"/>
    </w:p>
    <w:p>
      <w:pPr>
        <w:numPr>
          <w:ilvl w:val="0"/>
          <w:numId w:val="10"/>
        </w:numPr>
        <w:autoSpaceDE w:val="0"/>
        <w:autoSpaceDN w:val="0"/>
        <w:adjustRightInd w:val="0"/>
        <w:spacing w:line="360" w:lineRule="auto"/>
        <w:ind w:firstLine="480" w:firstLineChars="200"/>
        <w:jc w:val="left"/>
        <w:rPr>
          <w:rFonts w:ascii="Times New Roman" w:hAnsi="Times New Roman" w:cs="Times New Roman"/>
          <w:color w:val="auto"/>
          <w:sz w:val="32"/>
          <w:szCs w:val="21"/>
        </w:rPr>
      </w:pPr>
      <w:r>
        <w:rPr>
          <w:rFonts w:ascii="Times New Roman" w:hAnsi="Times New Roman" w:cs="Times New Roman"/>
          <w:color w:val="auto"/>
          <w:sz w:val="24"/>
        </w:rPr>
        <w:t>环境监理单位根据土壤污染状况调查报告、</w:t>
      </w:r>
      <w:r>
        <w:rPr>
          <w:rFonts w:ascii="Times New Roman" w:hAnsi="Times New Roman" w:cs="Times New Roman"/>
          <w:color w:val="auto"/>
          <w:kern w:val="0"/>
          <w:sz w:val="24"/>
          <w:szCs w:val="21"/>
        </w:rPr>
        <w:t>地块环境风险评估报告、</w:t>
      </w:r>
      <w:r>
        <w:rPr>
          <w:rFonts w:ascii="Times New Roman" w:hAnsi="Times New Roman" w:cs="Times New Roman"/>
          <w:color w:val="auto"/>
          <w:sz w:val="24"/>
        </w:rPr>
        <w:t>土壤污染修复方案等，结合现场踏勘结果编制环境监理方案。</w:t>
      </w:r>
      <w:r>
        <w:rPr>
          <w:rFonts w:ascii="Times New Roman" w:hAnsi="Times New Roman" w:cs="Times New Roman"/>
          <w:color w:val="auto"/>
          <w:sz w:val="32"/>
        </w:rPr>
        <w:t xml:space="preserve"> </w:t>
      </w:r>
    </w:p>
    <w:p>
      <w:pPr>
        <w:pStyle w:val="15"/>
        <w:spacing w:line="360" w:lineRule="auto"/>
        <w:ind w:firstLine="484" w:firstLineChars="202"/>
        <w:rPr>
          <w:rFonts w:ascii="Times New Roman" w:hAnsi="Times New Roman" w:eastAsia="黑体" w:cs="Times New Roman"/>
          <w:color w:val="auto"/>
          <w:sz w:val="24"/>
        </w:rPr>
      </w:pPr>
      <w:bookmarkStart w:id="115" w:name="OLE_LINK11"/>
      <w:bookmarkStart w:id="116" w:name="OLE_LINK10"/>
      <w:r>
        <w:rPr>
          <w:rFonts w:ascii="Times New Roman" w:hAnsi="Times New Roman" w:eastAsia="黑体" w:cs="Times New Roman"/>
          <w:color w:val="auto"/>
          <w:sz w:val="24"/>
        </w:rPr>
        <w:t>1 总则</w:t>
      </w:r>
    </w:p>
    <w:p>
      <w:pPr>
        <w:pStyle w:val="15"/>
        <w:spacing w:line="360" w:lineRule="auto"/>
        <w:ind w:firstLine="484" w:firstLineChars="202"/>
        <w:rPr>
          <w:rFonts w:ascii="Times New Roman" w:hAnsi="Times New Roman" w:cs="Times New Roman"/>
          <w:color w:val="auto"/>
          <w:sz w:val="24"/>
        </w:rPr>
      </w:pPr>
      <w:r>
        <w:rPr>
          <w:rFonts w:ascii="Times New Roman" w:hAnsi="Times New Roman" w:cs="Times New Roman"/>
          <w:color w:val="auto"/>
          <w:sz w:val="24"/>
        </w:rPr>
        <w:t>主要介绍项目背景情况。</w:t>
      </w:r>
    </w:p>
    <w:p>
      <w:pPr>
        <w:pStyle w:val="15"/>
        <w:spacing w:line="360" w:lineRule="auto"/>
        <w:ind w:firstLine="484" w:firstLineChars="202"/>
        <w:rPr>
          <w:rFonts w:ascii="Times New Roman" w:hAnsi="Times New Roman" w:eastAsia="黑体" w:cs="Times New Roman"/>
          <w:color w:val="auto"/>
          <w:sz w:val="24"/>
        </w:rPr>
      </w:pPr>
      <w:r>
        <w:rPr>
          <w:rFonts w:ascii="Times New Roman" w:hAnsi="Times New Roman" w:eastAsia="黑体" w:cs="Times New Roman"/>
          <w:color w:val="auto"/>
          <w:sz w:val="24"/>
        </w:rPr>
        <w:t>2 土壤污染修复工程概况</w:t>
      </w:r>
    </w:p>
    <w:p>
      <w:pPr>
        <w:pStyle w:val="15"/>
        <w:spacing w:line="360" w:lineRule="auto"/>
        <w:ind w:firstLine="484" w:firstLineChars="202"/>
        <w:rPr>
          <w:rFonts w:ascii="Times New Roman" w:hAnsi="Times New Roman" w:cs="Times New Roman"/>
          <w:color w:val="auto"/>
          <w:sz w:val="24"/>
        </w:rPr>
      </w:pPr>
      <w:bookmarkStart w:id="117" w:name="_Hlk42437630"/>
      <w:r>
        <w:rPr>
          <w:rFonts w:ascii="Times New Roman" w:hAnsi="Times New Roman" w:cs="Times New Roman"/>
          <w:color w:val="auto"/>
          <w:sz w:val="24"/>
        </w:rPr>
        <w:t>包括地块位置、规划功能、土壤污染状况调查和风险评估、土壤污染修复方案等前期工作情况、土壤污染修复工程基本情况（范围、目标、技术路线、工程计划）、土壤污染修复工程主要环境影响、土壤污染修复施工单位和周期。</w:t>
      </w:r>
    </w:p>
    <w:bookmarkEnd w:id="117"/>
    <w:p>
      <w:pPr>
        <w:pStyle w:val="15"/>
        <w:spacing w:line="360" w:lineRule="auto"/>
        <w:ind w:firstLine="484" w:firstLineChars="202"/>
        <w:rPr>
          <w:rFonts w:ascii="Times New Roman" w:hAnsi="Times New Roman" w:eastAsia="黑体" w:cs="Times New Roman"/>
          <w:color w:val="auto"/>
          <w:sz w:val="24"/>
        </w:rPr>
      </w:pPr>
      <w:r>
        <w:rPr>
          <w:rFonts w:ascii="Times New Roman" w:hAnsi="Times New Roman" w:eastAsia="黑体" w:cs="Times New Roman"/>
          <w:color w:val="auto"/>
          <w:sz w:val="24"/>
        </w:rPr>
        <w:t>3 环境监理的工作依据、工作目标</w:t>
      </w:r>
    </w:p>
    <w:p>
      <w:pPr>
        <w:pStyle w:val="15"/>
        <w:spacing w:line="360" w:lineRule="auto"/>
        <w:ind w:firstLine="484" w:firstLineChars="202"/>
        <w:rPr>
          <w:rFonts w:ascii="Times New Roman" w:hAnsi="Times New Roman" w:cs="Times New Roman"/>
          <w:color w:val="auto"/>
          <w:sz w:val="24"/>
        </w:rPr>
      </w:pPr>
      <w:r>
        <w:rPr>
          <w:rFonts w:ascii="Times New Roman" w:hAnsi="Times New Roman" w:cs="Times New Roman"/>
          <w:color w:val="auto"/>
          <w:sz w:val="24"/>
        </w:rPr>
        <w:t xml:space="preserve">4 </w:t>
      </w:r>
      <w:r>
        <w:rPr>
          <w:rFonts w:ascii="Times New Roman" w:hAnsi="Times New Roman" w:eastAsia="黑体" w:cs="Times New Roman"/>
          <w:color w:val="auto"/>
          <w:sz w:val="24"/>
        </w:rPr>
        <w:t>环境监理的工作程序</w:t>
      </w:r>
    </w:p>
    <w:p>
      <w:pPr>
        <w:pStyle w:val="15"/>
        <w:spacing w:line="360" w:lineRule="auto"/>
        <w:ind w:firstLine="484" w:firstLineChars="202"/>
        <w:rPr>
          <w:rFonts w:ascii="Times New Roman" w:hAnsi="Times New Roman" w:eastAsia="黑体" w:cs="Times New Roman"/>
          <w:color w:val="auto"/>
          <w:sz w:val="24"/>
        </w:rPr>
      </w:pPr>
      <w:r>
        <w:rPr>
          <w:rFonts w:ascii="Times New Roman" w:hAnsi="Times New Roman" w:eastAsia="黑体" w:cs="Times New Roman"/>
          <w:color w:val="auto"/>
          <w:sz w:val="24"/>
        </w:rPr>
        <w:t>5 环境监理的工作内容</w:t>
      </w:r>
    </w:p>
    <w:p>
      <w:pPr>
        <w:pStyle w:val="15"/>
        <w:spacing w:line="360" w:lineRule="auto"/>
        <w:ind w:firstLine="484" w:firstLineChars="202"/>
        <w:rPr>
          <w:rFonts w:ascii="Times New Roman" w:hAnsi="Times New Roman" w:cs="Times New Roman"/>
          <w:color w:val="auto"/>
          <w:sz w:val="24"/>
        </w:rPr>
      </w:pPr>
      <w:r>
        <w:rPr>
          <w:rFonts w:ascii="Times New Roman" w:hAnsi="Times New Roman" w:cs="Times New Roman"/>
          <w:color w:val="auto"/>
          <w:sz w:val="24"/>
        </w:rPr>
        <w:t>包括工程准备阶段环境监理、工程实施阶段环境监理、治理与效果评估阶段环境监理，并结合土壤污染修复工程特点，明确环境监理的工作要点。</w:t>
      </w:r>
    </w:p>
    <w:p>
      <w:pPr>
        <w:pStyle w:val="15"/>
        <w:spacing w:line="360" w:lineRule="auto"/>
        <w:ind w:firstLine="484" w:firstLineChars="202"/>
        <w:rPr>
          <w:rFonts w:ascii="Times New Roman" w:hAnsi="Times New Roman" w:eastAsia="黑体" w:cs="Times New Roman"/>
          <w:color w:val="auto"/>
          <w:sz w:val="24"/>
        </w:rPr>
      </w:pPr>
      <w:r>
        <w:rPr>
          <w:rFonts w:ascii="Times New Roman" w:hAnsi="Times New Roman" w:eastAsia="黑体" w:cs="Times New Roman"/>
          <w:color w:val="auto"/>
          <w:sz w:val="24"/>
        </w:rPr>
        <w:t>6 环境监理的工作方法</w:t>
      </w:r>
    </w:p>
    <w:p>
      <w:pPr>
        <w:pStyle w:val="15"/>
        <w:spacing w:line="360" w:lineRule="auto"/>
        <w:ind w:firstLine="484" w:firstLineChars="202"/>
        <w:rPr>
          <w:rFonts w:ascii="Times New Roman" w:hAnsi="Times New Roman" w:eastAsia="黑体" w:cs="Times New Roman"/>
          <w:color w:val="auto"/>
          <w:sz w:val="24"/>
        </w:rPr>
      </w:pPr>
      <w:r>
        <w:rPr>
          <w:rFonts w:ascii="Times New Roman" w:hAnsi="Times New Roman" w:eastAsia="黑体" w:cs="Times New Roman"/>
          <w:color w:val="auto"/>
          <w:sz w:val="24"/>
        </w:rPr>
        <w:t>7 环境监理的工作制度</w:t>
      </w:r>
    </w:p>
    <w:p>
      <w:pPr>
        <w:pStyle w:val="15"/>
        <w:spacing w:line="360" w:lineRule="auto"/>
        <w:ind w:firstLine="484" w:firstLineChars="202"/>
        <w:rPr>
          <w:rFonts w:ascii="Times New Roman" w:hAnsi="Times New Roman" w:eastAsia="黑体" w:cs="Times New Roman"/>
          <w:color w:val="auto"/>
          <w:sz w:val="24"/>
        </w:rPr>
      </w:pPr>
      <w:r>
        <w:rPr>
          <w:rFonts w:ascii="Times New Roman" w:hAnsi="Times New Roman" w:eastAsia="黑体" w:cs="Times New Roman"/>
          <w:color w:val="auto"/>
          <w:sz w:val="24"/>
        </w:rPr>
        <w:t>8 组织机构及职责</w:t>
      </w:r>
    </w:p>
    <w:p>
      <w:pPr>
        <w:pStyle w:val="15"/>
        <w:spacing w:line="360" w:lineRule="auto"/>
        <w:ind w:firstLine="484" w:firstLineChars="202"/>
        <w:rPr>
          <w:rFonts w:ascii="Times New Roman" w:hAnsi="Times New Roman" w:eastAsia="黑体" w:cs="Times New Roman"/>
          <w:color w:val="auto"/>
          <w:sz w:val="24"/>
        </w:rPr>
      </w:pPr>
      <w:r>
        <w:rPr>
          <w:rFonts w:ascii="Times New Roman" w:hAnsi="Times New Roman" w:eastAsia="黑体" w:cs="Times New Roman"/>
          <w:color w:val="auto"/>
          <w:sz w:val="24"/>
        </w:rPr>
        <w:t>9 环境监理用表</w:t>
      </w:r>
    </w:p>
    <w:bookmarkEnd w:id="115"/>
    <w:bookmarkEnd w:id="116"/>
    <w:p>
      <w:pPr>
        <w:pStyle w:val="15"/>
        <w:spacing w:line="360" w:lineRule="auto"/>
        <w:ind w:firstLine="484" w:firstLineChars="202"/>
        <w:rPr>
          <w:rFonts w:ascii="Times New Roman" w:hAnsi="Times New Roman" w:eastAsia="黑体" w:cs="Times New Roman"/>
          <w:color w:val="auto"/>
          <w:sz w:val="24"/>
        </w:rPr>
      </w:pPr>
      <w:r>
        <w:rPr>
          <w:rFonts w:ascii="Times New Roman" w:hAnsi="Times New Roman" w:eastAsia="黑体" w:cs="Times New Roman"/>
          <w:color w:val="auto"/>
          <w:sz w:val="24"/>
        </w:rPr>
        <w:t>附录</w:t>
      </w:r>
    </w:p>
    <w:p>
      <w:pPr>
        <w:widowControl/>
        <w:spacing w:line="360" w:lineRule="auto"/>
        <w:jc w:val="left"/>
        <w:rPr>
          <w:rFonts w:ascii="Times New Roman" w:hAnsi="Times New Roman" w:cs="Times New Roman"/>
          <w:color w:val="auto"/>
          <w:kern w:val="0"/>
          <w:sz w:val="24"/>
          <w:szCs w:val="21"/>
        </w:rPr>
      </w:pPr>
    </w:p>
    <w:p>
      <w:pPr>
        <w:widowControl/>
        <w:spacing w:line="360" w:lineRule="auto"/>
        <w:jc w:val="left"/>
        <w:rPr>
          <w:rFonts w:ascii="Times New Roman" w:hAnsi="Times New Roman" w:cs="Times New Roman"/>
          <w:color w:val="auto"/>
          <w:kern w:val="0"/>
          <w:sz w:val="24"/>
          <w:szCs w:val="21"/>
        </w:rPr>
        <w:sectPr>
          <w:pgSz w:w="11906" w:h="16838"/>
          <w:pgMar w:top="1440" w:right="1440" w:bottom="1440" w:left="1440" w:header="851" w:footer="992" w:gutter="0"/>
          <w:cols w:space="720" w:num="1"/>
        </w:sectPr>
      </w:pPr>
    </w:p>
    <w:p>
      <w:pPr>
        <w:pStyle w:val="138"/>
        <w:numPr>
          <w:ilvl w:val="1"/>
          <w:numId w:val="23"/>
        </w:numPr>
        <w:spacing w:before="0" w:beforeLines="0" w:after="0" w:afterLines="0"/>
        <w:jc w:val="center"/>
        <w:outlineLvl w:val="0"/>
        <w:rPr>
          <w:rFonts w:ascii="Times New Roman"/>
          <w:color w:val="auto"/>
          <w:sz w:val="24"/>
        </w:rPr>
      </w:pPr>
      <w:bookmarkStart w:id="118" w:name="_Toc17219"/>
      <w:bookmarkStart w:id="119" w:name="_Toc512528996"/>
      <w:r>
        <w:rPr>
          <w:rFonts w:ascii="Times New Roman"/>
          <w:color w:val="auto"/>
          <w:sz w:val="24"/>
        </w:rPr>
        <w:t>环境监理要点</w:t>
      </w:r>
      <w:bookmarkEnd w:id="118"/>
    </w:p>
    <w:p>
      <w:pPr>
        <w:pStyle w:val="18"/>
        <w:rPr>
          <w:rStyle w:val="41"/>
          <w:i w:val="0"/>
          <w:iCs w:val="0"/>
          <w:color w:val="auto"/>
        </w:rPr>
      </w:pPr>
    </w:p>
    <w:p>
      <w:pPr>
        <w:pStyle w:val="58"/>
        <w:numPr>
          <w:ilvl w:val="0"/>
          <w:numId w:val="0"/>
        </w:numPr>
        <w:jc w:val="center"/>
        <w:outlineLvl w:val="3"/>
        <w:rPr>
          <w:rFonts w:ascii="Times New Roman" w:hAnsi="Times New Roman" w:cs="Times New Roman"/>
          <w:color w:val="auto"/>
          <w:sz w:val="24"/>
        </w:rPr>
      </w:pPr>
      <w:bookmarkStart w:id="120" w:name="_Hlk51427339"/>
      <w:r>
        <w:rPr>
          <w:rFonts w:ascii="Times New Roman" w:hAnsi="Times New Roman" w:cs="Times New Roman"/>
          <w:color w:val="auto"/>
          <w:sz w:val="24"/>
        </w:rPr>
        <w:t>表1 不同修复模式环境监理要点</w:t>
      </w:r>
    </w:p>
    <w:tbl>
      <w:tblPr>
        <w:tblStyle w:val="45"/>
        <w:tblW w:w="1488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491"/>
        <w:gridCol w:w="7655"/>
        <w:gridCol w:w="5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78" w:hRule="atLeast"/>
          <w:jc w:val="center"/>
        </w:trPr>
        <w:tc>
          <w:tcPr>
            <w:tcW w:w="1491" w:type="dxa"/>
            <w:vAlign w:val="center"/>
          </w:tcPr>
          <w:p>
            <w:pPr>
              <w:widowControl/>
              <w:spacing w:line="260" w:lineRule="exact"/>
              <w:jc w:val="center"/>
              <w:rPr>
                <w:rFonts w:ascii="Times New Roman" w:hAnsi="Times New Roman" w:cs="Times New Roman"/>
                <w:b/>
                <w:bCs/>
                <w:color w:val="auto"/>
                <w:kern w:val="0"/>
                <w:sz w:val="24"/>
                <w:szCs w:val="24"/>
              </w:rPr>
            </w:pPr>
            <w:r>
              <w:rPr>
                <w:rFonts w:ascii="Times New Roman" w:hAnsi="Times New Roman" w:cs="Times New Roman"/>
                <w:b/>
                <w:bCs/>
                <w:color w:val="auto"/>
                <w:kern w:val="0"/>
                <w:sz w:val="24"/>
                <w:szCs w:val="24"/>
              </w:rPr>
              <w:t>土壤污染修复工程模式</w:t>
            </w:r>
          </w:p>
        </w:tc>
        <w:tc>
          <w:tcPr>
            <w:tcW w:w="7655" w:type="dxa"/>
            <w:vAlign w:val="center"/>
          </w:tcPr>
          <w:p>
            <w:pPr>
              <w:widowControl/>
              <w:spacing w:line="260" w:lineRule="exact"/>
              <w:jc w:val="center"/>
              <w:rPr>
                <w:rFonts w:ascii="Times New Roman" w:hAnsi="Times New Roman" w:cs="Times New Roman"/>
                <w:b/>
                <w:bCs/>
                <w:color w:val="auto"/>
                <w:kern w:val="0"/>
                <w:sz w:val="24"/>
                <w:szCs w:val="24"/>
              </w:rPr>
            </w:pPr>
            <w:r>
              <w:rPr>
                <w:rFonts w:ascii="Times New Roman" w:hAnsi="Times New Roman" w:cs="Times New Roman"/>
                <w:b/>
                <w:bCs/>
                <w:color w:val="auto"/>
                <w:kern w:val="0"/>
                <w:sz w:val="24"/>
                <w:szCs w:val="24"/>
              </w:rPr>
              <w:t>土壤污染修复主体工程内容</w:t>
            </w:r>
          </w:p>
        </w:tc>
        <w:tc>
          <w:tcPr>
            <w:tcW w:w="5737" w:type="dxa"/>
            <w:vAlign w:val="center"/>
          </w:tcPr>
          <w:p>
            <w:pPr>
              <w:widowControl/>
              <w:spacing w:line="260" w:lineRule="exact"/>
              <w:jc w:val="center"/>
              <w:rPr>
                <w:rFonts w:ascii="Times New Roman" w:hAnsi="Times New Roman" w:cs="Times New Roman"/>
                <w:b/>
                <w:bCs/>
                <w:color w:val="auto"/>
                <w:kern w:val="0"/>
                <w:sz w:val="24"/>
                <w:szCs w:val="24"/>
              </w:rPr>
            </w:pPr>
            <w:r>
              <w:rPr>
                <w:rFonts w:ascii="Times New Roman" w:hAnsi="Times New Roman" w:cs="Times New Roman"/>
                <w:b/>
                <w:bCs/>
                <w:color w:val="auto"/>
                <w:kern w:val="0"/>
                <w:sz w:val="24"/>
                <w:szCs w:val="24"/>
              </w:rPr>
              <w:t>二次污染防治环境监理要点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241" w:hRule="atLeast"/>
          <w:jc w:val="center"/>
        </w:trPr>
        <w:tc>
          <w:tcPr>
            <w:tcW w:w="1491" w:type="dxa"/>
            <w:vAlign w:val="center"/>
          </w:tcPr>
          <w:p>
            <w:pPr>
              <w:widowControl/>
              <w:spacing w:line="260" w:lineRule="exact"/>
              <w:jc w:val="center"/>
              <w:rPr>
                <w:rFonts w:ascii="Times New Roman" w:hAnsi="Times New Roman" w:cs="Times New Roman"/>
                <w:b/>
                <w:bCs/>
                <w:color w:val="auto"/>
                <w:kern w:val="0"/>
                <w:sz w:val="24"/>
                <w:szCs w:val="24"/>
              </w:rPr>
            </w:pPr>
            <w:r>
              <w:rPr>
                <w:rFonts w:ascii="Times New Roman" w:hAnsi="Times New Roman" w:cs="Times New Roman"/>
                <w:b/>
                <w:bCs/>
                <w:color w:val="auto"/>
                <w:kern w:val="0"/>
                <w:sz w:val="24"/>
                <w:szCs w:val="24"/>
              </w:rPr>
              <w:t>原位土壤污染修复工程（土壤和地下水）</w:t>
            </w:r>
          </w:p>
        </w:tc>
        <w:tc>
          <w:tcPr>
            <w:tcW w:w="7655" w:type="dxa"/>
            <w:vAlign w:val="center"/>
          </w:tcPr>
          <w:p>
            <w:pPr>
              <w:pStyle w:val="160"/>
              <w:widowControl/>
              <w:numPr>
                <w:ilvl w:val="0"/>
                <w:numId w:val="25"/>
              </w:numPr>
              <w:spacing w:line="260" w:lineRule="exact"/>
              <w:ind w:firstLineChars="0"/>
              <w:rPr>
                <w:rFonts w:ascii="Times New Roman" w:hAnsi="Times New Roman" w:cs="Times New Roman"/>
                <w:color w:val="auto"/>
                <w:kern w:val="0"/>
                <w:sz w:val="24"/>
                <w:szCs w:val="24"/>
              </w:rPr>
            </w:pPr>
            <w:r>
              <w:rPr>
                <w:rFonts w:ascii="Times New Roman" w:hAnsi="Times New Roman" w:cs="Times New Roman"/>
                <w:color w:val="auto"/>
                <w:kern w:val="0"/>
                <w:sz w:val="24"/>
                <w:szCs w:val="24"/>
              </w:rPr>
              <w:t>土壤污染修复工程区域放样结果及相关标志；</w:t>
            </w:r>
          </w:p>
          <w:p>
            <w:pPr>
              <w:pStyle w:val="160"/>
              <w:widowControl/>
              <w:numPr>
                <w:ilvl w:val="0"/>
                <w:numId w:val="25"/>
              </w:numPr>
              <w:spacing w:line="260" w:lineRule="exact"/>
              <w:ind w:firstLineChars="0"/>
              <w:rPr>
                <w:rFonts w:ascii="Times New Roman" w:hAnsi="Times New Roman" w:cs="Times New Roman"/>
                <w:color w:val="auto"/>
                <w:kern w:val="0"/>
                <w:sz w:val="24"/>
                <w:szCs w:val="24"/>
              </w:rPr>
            </w:pPr>
            <w:r>
              <w:rPr>
                <w:rFonts w:ascii="Times New Roman" w:hAnsi="Times New Roman" w:cs="Times New Roman"/>
                <w:color w:val="auto"/>
                <w:kern w:val="0"/>
                <w:sz w:val="24"/>
                <w:szCs w:val="24"/>
              </w:rPr>
              <w:t>监测井网络构建，包括井管材质、规格尺寸、布设点位、深度等；</w:t>
            </w:r>
          </w:p>
          <w:p>
            <w:pPr>
              <w:pStyle w:val="160"/>
              <w:widowControl/>
              <w:numPr>
                <w:ilvl w:val="0"/>
                <w:numId w:val="25"/>
              </w:numPr>
              <w:spacing w:line="260" w:lineRule="exact"/>
              <w:ind w:firstLineChars="0"/>
              <w:rPr>
                <w:rFonts w:ascii="Times New Roman" w:hAnsi="Times New Roman" w:cs="Times New Roman"/>
                <w:color w:val="auto"/>
                <w:kern w:val="0"/>
                <w:sz w:val="24"/>
                <w:szCs w:val="24"/>
              </w:rPr>
            </w:pPr>
            <w:r>
              <w:rPr>
                <w:rFonts w:ascii="Times New Roman" w:hAnsi="Times New Roman" w:cs="Times New Roman"/>
                <w:color w:val="auto"/>
                <w:kern w:val="0"/>
                <w:sz w:val="24"/>
                <w:szCs w:val="24"/>
              </w:rPr>
              <w:t>土壤污染修复工程药剂（如化学或物理药剂）使用情况和搅拌方式，包括药剂主要组分、添加顺序、比例、方式和速率等；</w:t>
            </w:r>
          </w:p>
          <w:p>
            <w:pPr>
              <w:pStyle w:val="160"/>
              <w:widowControl/>
              <w:numPr>
                <w:ilvl w:val="0"/>
                <w:numId w:val="25"/>
              </w:numPr>
              <w:spacing w:line="260" w:lineRule="exact"/>
              <w:ind w:firstLineChars="0"/>
              <w:rPr>
                <w:rFonts w:ascii="Times New Roman" w:hAnsi="Times New Roman" w:cs="Times New Roman"/>
                <w:color w:val="auto"/>
                <w:kern w:val="0"/>
                <w:sz w:val="24"/>
                <w:szCs w:val="24"/>
              </w:rPr>
            </w:pPr>
            <w:r>
              <w:rPr>
                <w:rFonts w:ascii="Times New Roman" w:hAnsi="Times New Roman" w:cs="Times New Roman"/>
                <w:color w:val="auto"/>
                <w:kern w:val="0"/>
                <w:sz w:val="24"/>
                <w:szCs w:val="24"/>
              </w:rPr>
              <w:t>土壤污染修复工程过程构筑物的构建（如止水帷幕、可渗透反应屏障等）；</w:t>
            </w:r>
          </w:p>
          <w:p>
            <w:pPr>
              <w:pStyle w:val="160"/>
              <w:widowControl/>
              <w:numPr>
                <w:ilvl w:val="0"/>
                <w:numId w:val="25"/>
              </w:numPr>
              <w:spacing w:line="260" w:lineRule="exact"/>
              <w:ind w:firstLineChars="0"/>
              <w:rPr>
                <w:rFonts w:ascii="Times New Roman" w:hAnsi="Times New Roman" w:cs="Times New Roman"/>
                <w:color w:val="auto"/>
                <w:kern w:val="0"/>
                <w:sz w:val="24"/>
                <w:szCs w:val="24"/>
              </w:rPr>
            </w:pPr>
            <w:r>
              <w:rPr>
                <w:rFonts w:ascii="Times New Roman" w:hAnsi="Times New Roman" w:cs="Times New Roman"/>
                <w:color w:val="auto"/>
                <w:kern w:val="0"/>
                <w:sz w:val="24"/>
                <w:szCs w:val="24"/>
              </w:rPr>
              <w:t>土壤污染修复工程实施装置构建，如搅拌系统、注入系统、修复药剂配备系统等；</w:t>
            </w:r>
          </w:p>
          <w:p>
            <w:pPr>
              <w:pStyle w:val="160"/>
              <w:widowControl/>
              <w:numPr>
                <w:ilvl w:val="0"/>
                <w:numId w:val="25"/>
              </w:numPr>
              <w:spacing w:line="260" w:lineRule="exact"/>
              <w:ind w:firstLineChars="0"/>
              <w:rPr>
                <w:rFonts w:ascii="Times New Roman" w:hAnsi="Times New Roman" w:cs="Times New Roman"/>
                <w:color w:val="auto"/>
                <w:kern w:val="0"/>
                <w:sz w:val="24"/>
                <w:szCs w:val="24"/>
              </w:rPr>
            </w:pPr>
            <w:r>
              <w:rPr>
                <w:rFonts w:ascii="Times New Roman" w:hAnsi="Times New Roman" w:cs="Times New Roman"/>
                <w:color w:val="auto"/>
                <w:kern w:val="0"/>
                <w:sz w:val="24"/>
                <w:szCs w:val="24"/>
              </w:rPr>
              <w:t>土壤污染修复工程设备和仪器运行使用情况（包括各种泵机、空压机、探头、管路及仪表、在线监控设备、气体收集设施等）；</w:t>
            </w:r>
          </w:p>
          <w:p>
            <w:pPr>
              <w:pStyle w:val="160"/>
              <w:widowControl/>
              <w:numPr>
                <w:ilvl w:val="0"/>
                <w:numId w:val="25"/>
              </w:numPr>
              <w:spacing w:line="260" w:lineRule="exact"/>
              <w:ind w:firstLineChars="0"/>
              <w:rPr>
                <w:rFonts w:ascii="Times New Roman" w:hAnsi="Times New Roman" w:cs="Times New Roman"/>
                <w:b/>
                <w:bCs/>
                <w:color w:val="auto"/>
                <w:kern w:val="0"/>
                <w:sz w:val="24"/>
                <w:szCs w:val="24"/>
              </w:rPr>
            </w:pPr>
            <w:r>
              <w:rPr>
                <w:rFonts w:hint="eastAsia" w:ascii="Times New Roman" w:hAnsi="Times New Roman" w:cs="Times New Roman"/>
                <w:color w:val="auto"/>
                <w:kern w:val="0"/>
                <w:sz w:val="24"/>
                <w:szCs w:val="24"/>
              </w:rPr>
              <w:t>其他</w:t>
            </w:r>
            <w:r>
              <w:rPr>
                <w:rFonts w:ascii="Times New Roman" w:hAnsi="Times New Roman" w:cs="Times New Roman"/>
                <w:color w:val="auto"/>
                <w:kern w:val="0"/>
                <w:sz w:val="24"/>
                <w:szCs w:val="24"/>
              </w:rPr>
              <w:t>土壤污染修复工程技术工艺环节和参数。</w:t>
            </w:r>
          </w:p>
        </w:tc>
        <w:tc>
          <w:tcPr>
            <w:tcW w:w="5737" w:type="dxa"/>
            <w:vAlign w:val="center"/>
          </w:tcPr>
          <w:p>
            <w:pPr>
              <w:pStyle w:val="160"/>
              <w:widowControl/>
              <w:numPr>
                <w:ilvl w:val="0"/>
                <w:numId w:val="26"/>
              </w:numPr>
              <w:spacing w:line="252" w:lineRule="auto"/>
              <w:ind w:left="584" w:firstLineChars="0"/>
              <w:rPr>
                <w:rFonts w:ascii="Times New Roman" w:hAnsi="Times New Roman" w:cs="Times New Roman"/>
                <w:color w:val="auto"/>
                <w:kern w:val="0"/>
                <w:sz w:val="24"/>
                <w:szCs w:val="24"/>
              </w:rPr>
            </w:pPr>
            <w:r>
              <w:rPr>
                <w:rFonts w:ascii="Times New Roman" w:hAnsi="Times New Roman" w:cs="Times New Roman"/>
                <w:color w:val="auto"/>
                <w:kern w:val="0"/>
                <w:sz w:val="24"/>
                <w:szCs w:val="24"/>
              </w:rPr>
              <w:t>土壤污染修复工程区域防渗设施和措施（如止水帷幕）；</w:t>
            </w:r>
          </w:p>
          <w:p>
            <w:pPr>
              <w:pStyle w:val="160"/>
              <w:widowControl/>
              <w:numPr>
                <w:ilvl w:val="0"/>
                <w:numId w:val="26"/>
              </w:numPr>
              <w:spacing w:line="252" w:lineRule="auto"/>
              <w:ind w:left="584" w:firstLineChars="0"/>
              <w:rPr>
                <w:rFonts w:ascii="Times New Roman" w:hAnsi="Times New Roman" w:cs="Times New Roman"/>
                <w:color w:val="auto"/>
                <w:kern w:val="0"/>
                <w:sz w:val="24"/>
                <w:szCs w:val="24"/>
              </w:rPr>
            </w:pPr>
            <w:r>
              <w:rPr>
                <w:rFonts w:ascii="Times New Roman" w:hAnsi="Times New Roman" w:cs="Times New Roman"/>
                <w:color w:val="auto"/>
                <w:kern w:val="0"/>
                <w:sz w:val="24"/>
                <w:szCs w:val="24"/>
              </w:rPr>
              <w:t>药剂储存区域防雨防渗措施；</w:t>
            </w:r>
          </w:p>
          <w:p>
            <w:pPr>
              <w:pStyle w:val="160"/>
              <w:widowControl/>
              <w:numPr>
                <w:ilvl w:val="0"/>
                <w:numId w:val="26"/>
              </w:numPr>
              <w:spacing w:line="252" w:lineRule="auto"/>
              <w:ind w:left="584" w:firstLineChars="0"/>
              <w:rPr>
                <w:rFonts w:ascii="Times New Roman" w:hAnsi="Times New Roman" w:cs="Times New Roman"/>
                <w:color w:val="auto"/>
                <w:kern w:val="0"/>
                <w:sz w:val="24"/>
                <w:szCs w:val="24"/>
              </w:rPr>
            </w:pPr>
            <w:r>
              <w:rPr>
                <w:rFonts w:ascii="Times New Roman" w:hAnsi="Times New Roman" w:cs="Times New Roman"/>
                <w:color w:val="auto"/>
                <w:kern w:val="0"/>
                <w:sz w:val="24"/>
                <w:szCs w:val="24"/>
              </w:rPr>
              <w:t>设备使用或清洗过程的交叉污染情况；</w:t>
            </w:r>
          </w:p>
          <w:p>
            <w:pPr>
              <w:pStyle w:val="160"/>
              <w:widowControl/>
              <w:numPr>
                <w:ilvl w:val="0"/>
                <w:numId w:val="26"/>
              </w:numPr>
              <w:spacing w:line="252" w:lineRule="auto"/>
              <w:ind w:left="584" w:firstLineChars="0"/>
              <w:rPr>
                <w:rFonts w:ascii="Times New Roman" w:hAnsi="Times New Roman" w:cs="Times New Roman"/>
                <w:color w:val="auto"/>
                <w:kern w:val="0"/>
                <w:sz w:val="24"/>
                <w:szCs w:val="24"/>
              </w:rPr>
            </w:pPr>
            <w:r>
              <w:rPr>
                <w:rFonts w:ascii="Times New Roman" w:hAnsi="Times New Roman" w:cs="Times New Roman"/>
                <w:color w:val="auto"/>
                <w:kern w:val="0"/>
                <w:sz w:val="24"/>
                <w:szCs w:val="24"/>
              </w:rPr>
              <w:t>产生的粉尘及其监测与控制；</w:t>
            </w:r>
          </w:p>
          <w:p>
            <w:pPr>
              <w:pStyle w:val="160"/>
              <w:widowControl/>
              <w:numPr>
                <w:ilvl w:val="0"/>
                <w:numId w:val="26"/>
              </w:numPr>
              <w:spacing w:line="252" w:lineRule="auto"/>
              <w:ind w:left="584" w:firstLineChars="0"/>
              <w:rPr>
                <w:rFonts w:ascii="Times New Roman" w:hAnsi="Times New Roman" w:cs="Times New Roman"/>
                <w:color w:val="auto"/>
                <w:kern w:val="0"/>
                <w:sz w:val="24"/>
                <w:szCs w:val="24"/>
              </w:rPr>
            </w:pPr>
            <w:r>
              <w:rPr>
                <w:rFonts w:ascii="Times New Roman" w:hAnsi="Times New Roman" w:cs="Times New Roman"/>
                <w:color w:val="auto"/>
                <w:kern w:val="0"/>
                <w:sz w:val="24"/>
                <w:szCs w:val="24"/>
              </w:rPr>
              <w:t>产生的有机污染气体和气味及其监测与控制；</w:t>
            </w:r>
          </w:p>
          <w:p>
            <w:pPr>
              <w:pStyle w:val="160"/>
              <w:widowControl/>
              <w:numPr>
                <w:ilvl w:val="0"/>
                <w:numId w:val="26"/>
              </w:numPr>
              <w:spacing w:line="252" w:lineRule="auto"/>
              <w:ind w:left="584" w:firstLineChars="0"/>
              <w:rPr>
                <w:rFonts w:ascii="Times New Roman" w:hAnsi="Times New Roman" w:cs="Times New Roman"/>
                <w:color w:val="auto"/>
                <w:kern w:val="0"/>
                <w:sz w:val="24"/>
                <w:szCs w:val="24"/>
              </w:rPr>
            </w:pPr>
            <w:r>
              <w:rPr>
                <w:rFonts w:ascii="Times New Roman" w:hAnsi="Times New Roman" w:cs="Times New Roman"/>
                <w:color w:val="auto"/>
                <w:kern w:val="0"/>
                <w:sz w:val="24"/>
                <w:szCs w:val="24"/>
              </w:rPr>
              <w:t>产生的废水及其监测与控制；</w:t>
            </w:r>
          </w:p>
          <w:p>
            <w:pPr>
              <w:pStyle w:val="160"/>
              <w:widowControl/>
              <w:numPr>
                <w:ilvl w:val="0"/>
                <w:numId w:val="26"/>
              </w:numPr>
              <w:spacing w:line="252" w:lineRule="auto"/>
              <w:ind w:left="584" w:firstLineChars="0"/>
              <w:rPr>
                <w:rFonts w:ascii="Times New Roman" w:hAnsi="Times New Roman" w:cs="Times New Roman"/>
                <w:color w:val="auto"/>
                <w:kern w:val="0"/>
                <w:sz w:val="24"/>
                <w:szCs w:val="24"/>
              </w:rPr>
            </w:pPr>
            <w:r>
              <w:rPr>
                <w:rFonts w:ascii="Times New Roman" w:hAnsi="Times New Roman" w:cs="Times New Roman"/>
                <w:color w:val="auto"/>
                <w:kern w:val="0"/>
                <w:sz w:val="24"/>
                <w:szCs w:val="24"/>
              </w:rPr>
              <w:t>二次污染监测点位布设和现场采样过程；</w:t>
            </w:r>
          </w:p>
          <w:p>
            <w:pPr>
              <w:pStyle w:val="160"/>
              <w:widowControl/>
              <w:numPr>
                <w:ilvl w:val="0"/>
                <w:numId w:val="26"/>
              </w:numPr>
              <w:spacing w:line="252" w:lineRule="auto"/>
              <w:ind w:left="584" w:firstLineChars="0"/>
              <w:rPr>
                <w:rFonts w:ascii="Times New Roman" w:hAnsi="Times New Roman" w:cs="Times New Roman"/>
                <w:color w:val="auto"/>
                <w:kern w:val="0"/>
                <w:sz w:val="24"/>
                <w:szCs w:val="24"/>
              </w:rPr>
            </w:pPr>
            <w:r>
              <w:rPr>
                <w:rFonts w:ascii="Times New Roman" w:hAnsi="Times New Roman" w:cs="Times New Roman"/>
                <w:color w:val="auto"/>
                <w:kern w:val="0"/>
                <w:sz w:val="24"/>
                <w:szCs w:val="24"/>
              </w:rPr>
              <w:t>产生的固体废物和危险废物的控制和处置。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470" w:hRule="atLeast"/>
          <w:jc w:val="center"/>
        </w:trPr>
        <w:tc>
          <w:tcPr>
            <w:tcW w:w="1491" w:type="dxa"/>
            <w:vMerge w:val="restart"/>
            <w:vAlign w:val="center"/>
          </w:tcPr>
          <w:p>
            <w:pPr>
              <w:widowControl/>
              <w:spacing w:line="260" w:lineRule="exact"/>
              <w:jc w:val="center"/>
              <w:rPr>
                <w:rFonts w:ascii="Times New Roman" w:hAnsi="Times New Roman" w:cs="Times New Roman"/>
                <w:b/>
                <w:bCs/>
                <w:color w:val="auto"/>
                <w:kern w:val="0"/>
                <w:sz w:val="24"/>
                <w:szCs w:val="24"/>
              </w:rPr>
            </w:pPr>
            <w:r>
              <w:rPr>
                <w:rFonts w:ascii="Times New Roman" w:hAnsi="Times New Roman" w:cs="Times New Roman"/>
                <w:b/>
                <w:bCs/>
                <w:color w:val="auto"/>
                <w:kern w:val="0"/>
                <w:sz w:val="24"/>
                <w:szCs w:val="24"/>
              </w:rPr>
              <w:t>异位土壤污染修复工程（土壤）</w:t>
            </w:r>
          </w:p>
        </w:tc>
        <w:tc>
          <w:tcPr>
            <w:tcW w:w="7655" w:type="dxa"/>
            <w:vAlign w:val="center"/>
          </w:tcPr>
          <w:p>
            <w:pPr>
              <w:widowControl/>
              <w:spacing w:line="260" w:lineRule="exact"/>
              <w:rPr>
                <w:rFonts w:ascii="Times New Roman" w:hAnsi="Times New Roman" w:cs="Times New Roman"/>
                <w:color w:val="auto"/>
                <w:kern w:val="0"/>
                <w:sz w:val="24"/>
                <w:szCs w:val="24"/>
              </w:rPr>
            </w:pPr>
            <w:r>
              <w:rPr>
                <w:rFonts w:ascii="Times New Roman" w:hAnsi="Times New Roman" w:cs="Times New Roman"/>
                <w:color w:val="auto"/>
                <w:kern w:val="0"/>
                <w:sz w:val="24"/>
                <w:szCs w:val="24"/>
              </w:rPr>
              <w:t>（一）土壤清挖</w:t>
            </w:r>
          </w:p>
          <w:p>
            <w:pPr>
              <w:pStyle w:val="160"/>
              <w:widowControl/>
              <w:numPr>
                <w:ilvl w:val="0"/>
                <w:numId w:val="27"/>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区域放样结果；</w:t>
            </w:r>
          </w:p>
          <w:p>
            <w:pPr>
              <w:pStyle w:val="160"/>
              <w:widowControl/>
              <w:numPr>
                <w:ilvl w:val="0"/>
                <w:numId w:val="27"/>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放样范围关键点保护措施；</w:t>
            </w:r>
          </w:p>
          <w:p>
            <w:pPr>
              <w:pStyle w:val="160"/>
              <w:widowControl/>
              <w:numPr>
                <w:ilvl w:val="0"/>
                <w:numId w:val="27"/>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必要的基坑降水过程；</w:t>
            </w:r>
          </w:p>
          <w:p>
            <w:pPr>
              <w:pStyle w:val="160"/>
              <w:widowControl/>
              <w:numPr>
                <w:ilvl w:val="0"/>
                <w:numId w:val="27"/>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挖掘后基坑形状、尺寸和方量。</w:t>
            </w:r>
          </w:p>
        </w:tc>
        <w:tc>
          <w:tcPr>
            <w:tcW w:w="5737" w:type="dxa"/>
            <w:vAlign w:val="center"/>
          </w:tcPr>
          <w:p>
            <w:pPr>
              <w:pStyle w:val="160"/>
              <w:widowControl/>
              <w:numPr>
                <w:ilvl w:val="0"/>
                <w:numId w:val="28"/>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产生的粉尘及其监测、控制和处理；</w:t>
            </w:r>
          </w:p>
          <w:p>
            <w:pPr>
              <w:pStyle w:val="160"/>
              <w:widowControl/>
              <w:numPr>
                <w:ilvl w:val="0"/>
                <w:numId w:val="28"/>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产生的废气和气味及其监测、控制和处理；</w:t>
            </w:r>
          </w:p>
          <w:p>
            <w:pPr>
              <w:pStyle w:val="160"/>
              <w:widowControl/>
              <w:numPr>
                <w:ilvl w:val="0"/>
                <w:numId w:val="28"/>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产生的废水及其监测、控制和处理；</w:t>
            </w:r>
          </w:p>
          <w:p>
            <w:pPr>
              <w:pStyle w:val="160"/>
              <w:widowControl/>
              <w:numPr>
                <w:ilvl w:val="0"/>
                <w:numId w:val="28"/>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产生的噪声及其监测、控制和处理；</w:t>
            </w:r>
          </w:p>
          <w:p>
            <w:pPr>
              <w:pStyle w:val="160"/>
              <w:widowControl/>
              <w:numPr>
                <w:ilvl w:val="0"/>
                <w:numId w:val="28"/>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产生的固废尤其是危险废物及其控制和处置。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72" w:hRule="atLeast"/>
          <w:jc w:val="center"/>
        </w:trPr>
        <w:tc>
          <w:tcPr>
            <w:tcW w:w="1491" w:type="dxa"/>
            <w:vMerge w:val="continue"/>
            <w:vAlign w:val="center"/>
          </w:tcPr>
          <w:p>
            <w:pPr>
              <w:widowControl/>
              <w:spacing w:line="260" w:lineRule="exact"/>
              <w:jc w:val="center"/>
              <w:rPr>
                <w:rFonts w:ascii="Times New Roman" w:hAnsi="Times New Roman" w:cs="Times New Roman"/>
                <w:b/>
                <w:bCs/>
                <w:color w:val="auto"/>
                <w:kern w:val="0"/>
                <w:sz w:val="24"/>
                <w:szCs w:val="24"/>
              </w:rPr>
            </w:pPr>
          </w:p>
        </w:tc>
        <w:tc>
          <w:tcPr>
            <w:tcW w:w="7655" w:type="dxa"/>
            <w:vAlign w:val="center"/>
          </w:tcPr>
          <w:p>
            <w:pPr>
              <w:widowControl/>
              <w:spacing w:line="260" w:lineRule="exact"/>
              <w:rPr>
                <w:rFonts w:ascii="Times New Roman" w:hAnsi="Times New Roman" w:cs="Times New Roman"/>
                <w:color w:val="auto"/>
                <w:kern w:val="0"/>
                <w:sz w:val="24"/>
                <w:szCs w:val="24"/>
              </w:rPr>
            </w:pPr>
            <w:r>
              <w:rPr>
                <w:rFonts w:ascii="Times New Roman" w:hAnsi="Times New Roman" w:cs="Times New Roman"/>
                <w:color w:val="auto"/>
                <w:kern w:val="0"/>
                <w:sz w:val="24"/>
                <w:szCs w:val="24"/>
              </w:rPr>
              <w:t>（二）土壤短驳或运输环节</w:t>
            </w:r>
          </w:p>
          <w:p>
            <w:pPr>
              <w:pStyle w:val="160"/>
              <w:widowControl/>
              <w:numPr>
                <w:ilvl w:val="0"/>
                <w:numId w:val="29"/>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监督车辆按指定路线转移至处理区域；</w:t>
            </w:r>
          </w:p>
          <w:p>
            <w:pPr>
              <w:pStyle w:val="160"/>
              <w:widowControl/>
              <w:numPr>
                <w:ilvl w:val="0"/>
                <w:numId w:val="29"/>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运输车次和运输量。</w:t>
            </w:r>
          </w:p>
        </w:tc>
        <w:tc>
          <w:tcPr>
            <w:tcW w:w="5737" w:type="dxa"/>
            <w:vAlign w:val="center"/>
          </w:tcPr>
          <w:p>
            <w:pPr>
              <w:pStyle w:val="160"/>
              <w:widowControl/>
              <w:numPr>
                <w:ilvl w:val="0"/>
                <w:numId w:val="30"/>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运输车辆的密封性，严禁跑冒滴漏。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382" w:hRule="atLeast"/>
          <w:jc w:val="center"/>
        </w:trPr>
        <w:tc>
          <w:tcPr>
            <w:tcW w:w="1491" w:type="dxa"/>
            <w:vMerge w:val="continue"/>
            <w:vAlign w:val="center"/>
          </w:tcPr>
          <w:p>
            <w:pPr>
              <w:widowControl/>
              <w:spacing w:line="260" w:lineRule="exact"/>
              <w:jc w:val="center"/>
              <w:rPr>
                <w:rFonts w:ascii="Times New Roman" w:hAnsi="Times New Roman" w:cs="Times New Roman"/>
                <w:b/>
                <w:bCs/>
                <w:color w:val="auto"/>
                <w:kern w:val="0"/>
                <w:sz w:val="24"/>
                <w:szCs w:val="24"/>
              </w:rPr>
            </w:pPr>
          </w:p>
        </w:tc>
        <w:tc>
          <w:tcPr>
            <w:tcW w:w="7655" w:type="dxa"/>
            <w:vAlign w:val="center"/>
          </w:tcPr>
          <w:p>
            <w:pPr>
              <w:widowControl/>
              <w:spacing w:line="260" w:lineRule="exact"/>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（三）土壤暂存环节</w:t>
            </w:r>
          </w:p>
          <w:p>
            <w:pPr>
              <w:pStyle w:val="160"/>
              <w:widowControl/>
              <w:numPr>
                <w:ilvl w:val="0"/>
                <w:numId w:val="31"/>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暂存场或暂存库的构建过程；</w:t>
            </w:r>
          </w:p>
          <w:p>
            <w:pPr>
              <w:pStyle w:val="72"/>
              <w:widowControl/>
              <w:numPr>
                <w:ilvl w:val="0"/>
                <w:numId w:val="31"/>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污染土壤的分类堆放情况；</w:t>
            </w:r>
          </w:p>
          <w:p>
            <w:pPr>
              <w:widowControl/>
              <w:spacing w:line="26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暂存场或暂存库构建环保材料（如HDPE膜、土工布等）数量和质量。</w:t>
            </w:r>
          </w:p>
        </w:tc>
        <w:tc>
          <w:tcPr>
            <w:tcW w:w="5737" w:type="dxa"/>
            <w:vAlign w:val="center"/>
          </w:tcPr>
          <w:p>
            <w:pPr>
              <w:pStyle w:val="160"/>
              <w:widowControl/>
              <w:numPr>
                <w:ilvl w:val="0"/>
                <w:numId w:val="32"/>
              </w:numPr>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暂存场地底部防渗和表面防雨措施的落实；</w:t>
            </w:r>
          </w:p>
          <w:p>
            <w:pPr>
              <w:pStyle w:val="160"/>
              <w:widowControl/>
              <w:numPr>
                <w:ilvl w:val="0"/>
                <w:numId w:val="32"/>
              </w:numPr>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污染雨水的收集处理。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78" w:hRule="atLeast"/>
          <w:jc w:val="center"/>
        </w:trPr>
        <w:tc>
          <w:tcPr>
            <w:tcW w:w="1491" w:type="dxa"/>
            <w:vAlign w:val="center"/>
          </w:tcPr>
          <w:p>
            <w:pPr>
              <w:widowControl/>
              <w:spacing w:line="260" w:lineRule="exact"/>
              <w:jc w:val="center"/>
              <w:rPr>
                <w:rFonts w:ascii="Times New Roman" w:hAnsi="Times New Roman" w:cs="Times New Roman"/>
                <w:b/>
                <w:bCs/>
                <w:color w:val="auto"/>
                <w:kern w:val="0"/>
                <w:sz w:val="24"/>
                <w:szCs w:val="24"/>
              </w:rPr>
            </w:pPr>
            <w:r>
              <w:rPr>
                <w:rFonts w:ascii="Times New Roman" w:hAnsi="Times New Roman" w:cs="Times New Roman"/>
                <w:b/>
                <w:bCs/>
                <w:color w:val="auto"/>
                <w:kern w:val="0"/>
                <w:sz w:val="24"/>
                <w:szCs w:val="24"/>
              </w:rPr>
              <w:t>土壤污染修复工程模式</w:t>
            </w:r>
          </w:p>
        </w:tc>
        <w:tc>
          <w:tcPr>
            <w:tcW w:w="7655" w:type="dxa"/>
            <w:vAlign w:val="center"/>
          </w:tcPr>
          <w:p>
            <w:pPr>
              <w:widowControl/>
              <w:spacing w:line="260" w:lineRule="exact"/>
              <w:jc w:val="center"/>
              <w:rPr>
                <w:rFonts w:ascii="Times New Roman" w:hAnsi="Times New Roman" w:cs="Times New Roman"/>
                <w:b/>
                <w:bCs/>
                <w:color w:val="auto"/>
                <w:kern w:val="0"/>
                <w:sz w:val="24"/>
                <w:szCs w:val="24"/>
              </w:rPr>
            </w:pPr>
            <w:r>
              <w:rPr>
                <w:rFonts w:ascii="Times New Roman" w:hAnsi="Times New Roman" w:cs="Times New Roman"/>
                <w:b/>
                <w:bCs/>
                <w:color w:val="auto"/>
                <w:kern w:val="0"/>
                <w:sz w:val="24"/>
                <w:szCs w:val="24"/>
              </w:rPr>
              <w:t>土壤污染修复主体工程内容</w:t>
            </w:r>
          </w:p>
        </w:tc>
        <w:tc>
          <w:tcPr>
            <w:tcW w:w="5737" w:type="dxa"/>
            <w:vAlign w:val="center"/>
          </w:tcPr>
          <w:p>
            <w:pPr>
              <w:widowControl/>
              <w:spacing w:line="260" w:lineRule="exact"/>
              <w:jc w:val="center"/>
              <w:rPr>
                <w:rFonts w:ascii="Times New Roman" w:hAnsi="Times New Roman" w:cs="Times New Roman"/>
                <w:b/>
                <w:bCs/>
                <w:color w:val="auto"/>
                <w:kern w:val="0"/>
                <w:sz w:val="24"/>
                <w:szCs w:val="24"/>
              </w:rPr>
            </w:pPr>
            <w:r>
              <w:rPr>
                <w:rFonts w:ascii="Times New Roman" w:hAnsi="Times New Roman" w:cs="Times New Roman"/>
                <w:b/>
                <w:bCs/>
                <w:color w:val="auto"/>
                <w:kern w:val="0"/>
                <w:sz w:val="24"/>
                <w:szCs w:val="24"/>
              </w:rPr>
              <w:t>二次污染防治环境监理要点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8" w:hRule="atLeast"/>
          <w:jc w:val="center"/>
        </w:trPr>
        <w:tc>
          <w:tcPr>
            <w:tcW w:w="1491" w:type="dxa"/>
            <w:vMerge w:val="restart"/>
            <w:vAlign w:val="center"/>
          </w:tcPr>
          <w:p>
            <w:pPr>
              <w:widowControl/>
              <w:spacing w:line="260" w:lineRule="exact"/>
              <w:jc w:val="center"/>
              <w:rPr>
                <w:rFonts w:ascii="Times New Roman" w:hAnsi="Times New Roman" w:cs="Times New Roman"/>
                <w:b/>
                <w:bCs/>
                <w:color w:val="auto"/>
                <w:kern w:val="0"/>
                <w:sz w:val="24"/>
                <w:szCs w:val="24"/>
              </w:rPr>
            </w:pPr>
          </w:p>
        </w:tc>
        <w:tc>
          <w:tcPr>
            <w:tcW w:w="7655" w:type="dxa"/>
            <w:vAlign w:val="center"/>
          </w:tcPr>
          <w:p>
            <w:pPr>
              <w:widowControl/>
              <w:spacing w:line="260" w:lineRule="exact"/>
              <w:rPr>
                <w:rFonts w:ascii="Times New Roman" w:hAnsi="Times New Roman" w:cs="Times New Roman"/>
                <w:color w:val="auto"/>
                <w:kern w:val="0"/>
                <w:sz w:val="24"/>
                <w:szCs w:val="24"/>
              </w:rPr>
            </w:pPr>
            <w:r>
              <w:rPr>
                <w:rFonts w:ascii="Times New Roman" w:hAnsi="Times New Roman" w:cs="Times New Roman"/>
                <w:color w:val="auto"/>
                <w:kern w:val="0"/>
                <w:sz w:val="24"/>
                <w:szCs w:val="24"/>
              </w:rPr>
              <w:t>（四）土壤修复环节</w:t>
            </w:r>
          </w:p>
          <w:p>
            <w:pPr>
              <w:pStyle w:val="160"/>
              <w:widowControl/>
              <w:numPr>
                <w:ilvl w:val="0"/>
                <w:numId w:val="33"/>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土壤预处理（如筛分、破碎等）过程；</w:t>
            </w:r>
          </w:p>
          <w:p>
            <w:pPr>
              <w:pStyle w:val="160"/>
              <w:widowControl/>
              <w:numPr>
                <w:ilvl w:val="0"/>
                <w:numId w:val="33"/>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修复药剂使用情况，包括药剂添加种类、顺序、比例和方式等；</w:t>
            </w:r>
          </w:p>
          <w:p>
            <w:pPr>
              <w:pStyle w:val="160"/>
              <w:widowControl/>
              <w:numPr>
                <w:ilvl w:val="0"/>
                <w:numId w:val="33"/>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土壤污染修复工程辅助构筑物（如密封大棚）的构建；</w:t>
            </w:r>
          </w:p>
          <w:p>
            <w:pPr>
              <w:pStyle w:val="160"/>
              <w:widowControl/>
              <w:numPr>
                <w:ilvl w:val="0"/>
                <w:numId w:val="33"/>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土壤污染修复工程设备和仪器运行使用情况；</w:t>
            </w:r>
          </w:p>
          <w:p>
            <w:pPr>
              <w:pStyle w:val="160"/>
              <w:widowControl/>
              <w:numPr>
                <w:ilvl w:val="0"/>
                <w:numId w:val="33"/>
              </w:numPr>
              <w:spacing w:line="260" w:lineRule="exact"/>
              <w:ind w:firstLineChars="0"/>
              <w:jc w:val="left"/>
              <w:rPr>
                <w:rFonts w:ascii="Times New Roman" w:hAnsi="Times New Roman" w:cs="Times New Roman"/>
                <w:b/>
                <w:bCs/>
                <w:color w:val="auto"/>
                <w:kern w:val="0"/>
                <w:sz w:val="24"/>
                <w:szCs w:val="24"/>
              </w:rPr>
            </w:pPr>
            <w:r>
              <w:rPr>
                <w:rFonts w:ascii="Times New Roman" w:hAnsi="Times New Roman" w:cs="Times New Roman"/>
                <w:color w:val="auto"/>
                <w:kern w:val="0"/>
                <w:sz w:val="24"/>
                <w:szCs w:val="24"/>
              </w:rPr>
              <w:t>修复技术工艺实施情况，包括流程、主要环节和工艺参数等，例如热脱附的温度和时间等。</w:t>
            </w:r>
          </w:p>
        </w:tc>
        <w:tc>
          <w:tcPr>
            <w:tcW w:w="5737" w:type="dxa"/>
            <w:vAlign w:val="center"/>
          </w:tcPr>
          <w:p>
            <w:pPr>
              <w:pStyle w:val="160"/>
              <w:widowControl/>
              <w:numPr>
                <w:ilvl w:val="0"/>
                <w:numId w:val="34"/>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土壤污染修复工程区域地面防渗设施和措施；</w:t>
            </w:r>
          </w:p>
          <w:p>
            <w:pPr>
              <w:pStyle w:val="160"/>
              <w:widowControl/>
              <w:numPr>
                <w:ilvl w:val="0"/>
                <w:numId w:val="34"/>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药剂储存区域防雨防渗措施；</w:t>
            </w:r>
          </w:p>
          <w:p>
            <w:pPr>
              <w:pStyle w:val="160"/>
              <w:widowControl/>
              <w:numPr>
                <w:ilvl w:val="0"/>
                <w:numId w:val="34"/>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设备使用或清洗过程的交叉污染情况；</w:t>
            </w:r>
          </w:p>
          <w:p>
            <w:pPr>
              <w:pStyle w:val="160"/>
              <w:widowControl/>
              <w:numPr>
                <w:ilvl w:val="0"/>
                <w:numId w:val="34"/>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产生的粉尘及其监测与控制；</w:t>
            </w:r>
          </w:p>
          <w:p>
            <w:pPr>
              <w:pStyle w:val="160"/>
              <w:widowControl/>
              <w:numPr>
                <w:ilvl w:val="0"/>
                <w:numId w:val="34"/>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产生的有机污染气体和气味及其监测与控制；</w:t>
            </w:r>
          </w:p>
          <w:p>
            <w:pPr>
              <w:pStyle w:val="160"/>
              <w:widowControl/>
              <w:numPr>
                <w:ilvl w:val="0"/>
                <w:numId w:val="34"/>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产生的废水及其监测与控制；</w:t>
            </w:r>
          </w:p>
          <w:p>
            <w:pPr>
              <w:pStyle w:val="160"/>
              <w:widowControl/>
              <w:numPr>
                <w:ilvl w:val="0"/>
                <w:numId w:val="34"/>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二次污染监测点位布设和现场采样过程；</w:t>
            </w:r>
          </w:p>
          <w:p>
            <w:pPr>
              <w:pStyle w:val="160"/>
              <w:widowControl/>
              <w:numPr>
                <w:ilvl w:val="0"/>
                <w:numId w:val="34"/>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产生的固废尤其是危险废物的控制和处置。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8" w:hRule="atLeast"/>
          <w:jc w:val="center"/>
        </w:trPr>
        <w:tc>
          <w:tcPr>
            <w:tcW w:w="1491" w:type="dxa"/>
            <w:vMerge w:val="continue"/>
            <w:vAlign w:val="center"/>
          </w:tcPr>
          <w:p>
            <w:pPr>
              <w:widowControl/>
              <w:spacing w:line="260" w:lineRule="exact"/>
              <w:jc w:val="center"/>
              <w:rPr>
                <w:rFonts w:ascii="Times New Roman" w:hAnsi="Times New Roman" w:cs="Times New Roman"/>
                <w:b/>
                <w:bCs/>
                <w:color w:val="auto"/>
                <w:kern w:val="0"/>
                <w:sz w:val="24"/>
                <w:szCs w:val="24"/>
              </w:rPr>
            </w:pPr>
          </w:p>
        </w:tc>
        <w:tc>
          <w:tcPr>
            <w:tcW w:w="7655" w:type="dxa"/>
            <w:vAlign w:val="center"/>
          </w:tcPr>
          <w:p>
            <w:pPr>
              <w:widowControl/>
              <w:spacing w:line="260" w:lineRule="exact"/>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（五）土壤待检堆放</w:t>
            </w:r>
          </w:p>
          <w:p>
            <w:pPr>
              <w:pStyle w:val="160"/>
              <w:widowControl/>
              <w:numPr>
                <w:ilvl w:val="0"/>
                <w:numId w:val="35"/>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土壤待检区构建（防雨、防渗、防尘）；</w:t>
            </w:r>
          </w:p>
          <w:p>
            <w:pPr>
              <w:pStyle w:val="160"/>
              <w:widowControl/>
              <w:numPr>
                <w:ilvl w:val="0"/>
                <w:numId w:val="35"/>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待检土壤的分类堆放情况。</w:t>
            </w:r>
          </w:p>
        </w:tc>
        <w:tc>
          <w:tcPr>
            <w:tcW w:w="5737" w:type="dxa"/>
            <w:vAlign w:val="center"/>
          </w:tcPr>
          <w:p>
            <w:pPr>
              <w:pStyle w:val="160"/>
              <w:widowControl/>
              <w:numPr>
                <w:ilvl w:val="0"/>
                <w:numId w:val="36"/>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待检区空气质量定期监测（异</w:t>
            </w:r>
            <w:r>
              <w:rPr>
                <w:rFonts w:hint="eastAsia" w:ascii="Times New Roman" w:hAnsi="Times New Roman" w:cs="Times New Roman"/>
                <w:color w:val="auto"/>
                <w:kern w:val="0"/>
                <w:sz w:val="24"/>
                <w:szCs w:val="24"/>
              </w:rPr>
              <w:t>位</w:t>
            </w:r>
            <w:r>
              <w:rPr>
                <w:rFonts w:ascii="Times New Roman" w:hAnsi="Times New Roman" w:cs="Times New Roman"/>
                <w:color w:val="auto"/>
                <w:kern w:val="0"/>
                <w:sz w:val="24"/>
                <w:szCs w:val="24"/>
              </w:rPr>
              <w:t>常温解</w:t>
            </w:r>
            <w:r>
              <w:rPr>
                <w:rFonts w:hint="eastAsia" w:ascii="Times New Roman" w:hAnsi="Times New Roman" w:cs="Times New Roman"/>
                <w:color w:val="auto"/>
                <w:kern w:val="0"/>
                <w:sz w:val="24"/>
                <w:szCs w:val="24"/>
              </w:rPr>
              <w:t>吸</w:t>
            </w:r>
            <w:r>
              <w:rPr>
                <w:rFonts w:ascii="Times New Roman" w:hAnsi="Times New Roman" w:cs="Times New Roman"/>
                <w:color w:val="auto"/>
                <w:kern w:val="0"/>
                <w:sz w:val="24"/>
                <w:szCs w:val="24"/>
              </w:rPr>
              <w:t>修复技术）。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8" w:hRule="atLeast"/>
          <w:jc w:val="center"/>
        </w:trPr>
        <w:tc>
          <w:tcPr>
            <w:tcW w:w="1491" w:type="dxa"/>
            <w:vMerge w:val="continue"/>
            <w:vAlign w:val="center"/>
          </w:tcPr>
          <w:p>
            <w:pPr>
              <w:widowControl/>
              <w:spacing w:line="260" w:lineRule="exact"/>
              <w:jc w:val="center"/>
              <w:rPr>
                <w:rFonts w:ascii="Times New Roman" w:hAnsi="Times New Roman" w:cs="Times New Roman"/>
                <w:b/>
                <w:bCs/>
                <w:color w:val="auto"/>
                <w:kern w:val="0"/>
                <w:sz w:val="24"/>
                <w:szCs w:val="24"/>
              </w:rPr>
            </w:pPr>
          </w:p>
        </w:tc>
        <w:tc>
          <w:tcPr>
            <w:tcW w:w="7655" w:type="dxa"/>
            <w:vAlign w:val="center"/>
          </w:tcPr>
          <w:p>
            <w:pPr>
              <w:widowControl/>
              <w:spacing w:line="260" w:lineRule="exact"/>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（六）修复后土壤回填或外运环节</w:t>
            </w:r>
          </w:p>
          <w:p>
            <w:pPr>
              <w:pStyle w:val="160"/>
              <w:widowControl/>
              <w:numPr>
                <w:ilvl w:val="0"/>
                <w:numId w:val="37"/>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土壤回填位置；</w:t>
            </w:r>
          </w:p>
          <w:p>
            <w:pPr>
              <w:pStyle w:val="160"/>
              <w:widowControl/>
              <w:numPr>
                <w:ilvl w:val="0"/>
                <w:numId w:val="37"/>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土壤外运地点和处置方式；</w:t>
            </w:r>
          </w:p>
          <w:p>
            <w:pPr>
              <w:pStyle w:val="160"/>
              <w:widowControl/>
              <w:numPr>
                <w:ilvl w:val="0"/>
                <w:numId w:val="37"/>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外运土运输环节。</w:t>
            </w:r>
          </w:p>
        </w:tc>
        <w:tc>
          <w:tcPr>
            <w:tcW w:w="5737" w:type="dxa"/>
            <w:vAlign w:val="center"/>
          </w:tcPr>
          <w:p>
            <w:pPr>
              <w:pStyle w:val="160"/>
              <w:widowControl/>
              <w:numPr>
                <w:ilvl w:val="0"/>
                <w:numId w:val="38"/>
              </w:numPr>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土壤压实回填；</w:t>
            </w:r>
          </w:p>
          <w:p>
            <w:pPr>
              <w:pStyle w:val="160"/>
              <w:widowControl/>
              <w:numPr>
                <w:ilvl w:val="0"/>
                <w:numId w:val="38"/>
              </w:numPr>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外运车辆的密封性，严禁跑冒滴漏。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8" w:hRule="atLeast"/>
          <w:jc w:val="center"/>
        </w:trPr>
        <w:tc>
          <w:tcPr>
            <w:tcW w:w="1491" w:type="dxa"/>
            <w:vMerge w:val="restart"/>
            <w:vAlign w:val="center"/>
          </w:tcPr>
          <w:p>
            <w:pPr>
              <w:widowControl/>
              <w:spacing w:line="260" w:lineRule="exact"/>
              <w:jc w:val="center"/>
              <w:rPr>
                <w:rFonts w:ascii="Times New Roman" w:hAnsi="Times New Roman" w:cs="Times New Roman"/>
                <w:b/>
                <w:bCs/>
                <w:color w:val="auto"/>
                <w:kern w:val="0"/>
                <w:sz w:val="24"/>
                <w:szCs w:val="24"/>
              </w:rPr>
            </w:pPr>
            <w:r>
              <w:rPr>
                <w:rFonts w:ascii="Times New Roman" w:hAnsi="Times New Roman" w:cs="Times New Roman"/>
                <w:b/>
                <w:bCs/>
                <w:color w:val="auto"/>
                <w:kern w:val="0"/>
                <w:sz w:val="24"/>
                <w:szCs w:val="24"/>
              </w:rPr>
              <w:t>异位土壤污染修复工程（地下水）</w:t>
            </w:r>
          </w:p>
        </w:tc>
        <w:tc>
          <w:tcPr>
            <w:tcW w:w="7655" w:type="dxa"/>
            <w:vAlign w:val="center"/>
          </w:tcPr>
          <w:p>
            <w:pPr>
              <w:widowControl/>
              <w:spacing w:line="260" w:lineRule="exact"/>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（一）地下水抽提环节</w:t>
            </w:r>
          </w:p>
          <w:p>
            <w:pPr>
              <w:pStyle w:val="160"/>
              <w:widowControl/>
              <w:numPr>
                <w:ilvl w:val="0"/>
                <w:numId w:val="39"/>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抽提井布设，包括点位位置和深度、抽提井材质和规格等；</w:t>
            </w:r>
          </w:p>
          <w:p>
            <w:pPr>
              <w:pStyle w:val="160"/>
              <w:widowControl/>
              <w:numPr>
                <w:ilvl w:val="0"/>
                <w:numId w:val="39"/>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止水帷幕的构建和效果，包括规格尺寸、边界等；</w:t>
            </w:r>
          </w:p>
          <w:p>
            <w:pPr>
              <w:pStyle w:val="160"/>
              <w:widowControl/>
              <w:numPr>
                <w:ilvl w:val="0"/>
                <w:numId w:val="39"/>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抽提井保护措施；</w:t>
            </w:r>
          </w:p>
          <w:p>
            <w:pPr>
              <w:pStyle w:val="160"/>
              <w:widowControl/>
              <w:numPr>
                <w:ilvl w:val="0"/>
                <w:numId w:val="39"/>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抽提井布设设备或仪器运行使用情况。</w:t>
            </w:r>
          </w:p>
        </w:tc>
        <w:tc>
          <w:tcPr>
            <w:tcW w:w="5737" w:type="dxa"/>
            <w:vAlign w:val="center"/>
          </w:tcPr>
          <w:p>
            <w:pPr>
              <w:pStyle w:val="160"/>
              <w:widowControl/>
              <w:numPr>
                <w:ilvl w:val="0"/>
                <w:numId w:val="40"/>
              </w:numPr>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钻井过程产生的污水及其控制；</w:t>
            </w:r>
          </w:p>
          <w:p>
            <w:pPr>
              <w:pStyle w:val="160"/>
              <w:widowControl/>
              <w:numPr>
                <w:ilvl w:val="0"/>
                <w:numId w:val="40"/>
              </w:numPr>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钻井过程产生的废气及其控制；</w:t>
            </w:r>
          </w:p>
          <w:p>
            <w:pPr>
              <w:pStyle w:val="160"/>
              <w:widowControl/>
              <w:numPr>
                <w:ilvl w:val="0"/>
                <w:numId w:val="40"/>
              </w:numPr>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钻井过程产生的噪声及其控制。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8" w:hRule="atLeast"/>
          <w:jc w:val="center"/>
        </w:trPr>
        <w:tc>
          <w:tcPr>
            <w:tcW w:w="1491" w:type="dxa"/>
            <w:vMerge w:val="continue"/>
            <w:vAlign w:val="center"/>
          </w:tcPr>
          <w:p>
            <w:pPr>
              <w:widowControl/>
              <w:spacing w:line="260" w:lineRule="exact"/>
              <w:jc w:val="center"/>
              <w:rPr>
                <w:rFonts w:ascii="Times New Roman" w:hAnsi="Times New Roman" w:cs="Times New Roman"/>
                <w:b/>
                <w:bCs/>
                <w:color w:val="auto"/>
                <w:kern w:val="0"/>
                <w:sz w:val="24"/>
                <w:szCs w:val="24"/>
              </w:rPr>
            </w:pPr>
          </w:p>
        </w:tc>
        <w:tc>
          <w:tcPr>
            <w:tcW w:w="7655" w:type="dxa"/>
            <w:vAlign w:val="center"/>
          </w:tcPr>
          <w:p>
            <w:pPr>
              <w:widowControl/>
              <w:spacing w:line="260" w:lineRule="exact"/>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（二）地下水地面处理环节</w:t>
            </w:r>
          </w:p>
          <w:p>
            <w:pPr>
              <w:pStyle w:val="160"/>
              <w:widowControl/>
              <w:numPr>
                <w:ilvl w:val="0"/>
                <w:numId w:val="41"/>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地下水处理量的核实；</w:t>
            </w:r>
          </w:p>
          <w:p>
            <w:pPr>
              <w:pStyle w:val="160"/>
              <w:widowControl/>
              <w:numPr>
                <w:ilvl w:val="0"/>
                <w:numId w:val="41"/>
              </w:numPr>
              <w:spacing w:line="260" w:lineRule="exact"/>
              <w:ind w:firstLineChars="0"/>
              <w:jc w:val="left"/>
              <w:rPr>
                <w:rFonts w:ascii="Times New Roman" w:hAnsi="Times New Roman" w:cs="Times New Roman"/>
                <w:color w:val="auto"/>
                <w:kern w:val="0"/>
                <w:sz w:val="24"/>
                <w:szCs w:val="24"/>
              </w:rPr>
            </w:pPr>
            <w:r>
              <w:rPr>
                <w:rFonts w:hint="eastAsia" w:ascii="Times New Roman" w:hAnsi="Times New Roman" w:cs="Times New Roman"/>
                <w:color w:val="auto"/>
                <w:kern w:val="0"/>
                <w:sz w:val="24"/>
                <w:szCs w:val="24"/>
              </w:rPr>
              <w:t>地下水修复</w:t>
            </w:r>
            <w:r>
              <w:rPr>
                <w:rFonts w:ascii="Times New Roman" w:hAnsi="Times New Roman" w:cs="Times New Roman"/>
                <w:color w:val="auto"/>
                <w:kern w:val="0"/>
                <w:sz w:val="24"/>
                <w:szCs w:val="24"/>
              </w:rPr>
              <w:t>药剂使用情况，包括药剂添加种类、顺序、比例和方式等；</w:t>
            </w:r>
          </w:p>
          <w:p>
            <w:pPr>
              <w:pStyle w:val="160"/>
              <w:widowControl/>
              <w:numPr>
                <w:ilvl w:val="0"/>
                <w:numId w:val="41"/>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污染物处理工艺实施情况，包括流程、主要环节和工艺参数等；</w:t>
            </w:r>
          </w:p>
          <w:p>
            <w:pPr>
              <w:pStyle w:val="160"/>
              <w:widowControl/>
              <w:numPr>
                <w:ilvl w:val="0"/>
                <w:numId w:val="41"/>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水质定期采样监测。</w:t>
            </w:r>
          </w:p>
        </w:tc>
        <w:tc>
          <w:tcPr>
            <w:tcW w:w="5737" w:type="dxa"/>
            <w:vAlign w:val="center"/>
          </w:tcPr>
          <w:p>
            <w:pPr>
              <w:pStyle w:val="160"/>
              <w:widowControl/>
              <w:numPr>
                <w:ilvl w:val="0"/>
                <w:numId w:val="42"/>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地面处理区域防渗设施和措施；</w:t>
            </w:r>
          </w:p>
          <w:p>
            <w:pPr>
              <w:pStyle w:val="160"/>
              <w:widowControl/>
              <w:numPr>
                <w:ilvl w:val="0"/>
                <w:numId w:val="42"/>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药剂储存区域防雨防渗措施；</w:t>
            </w:r>
          </w:p>
          <w:p>
            <w:pPr>
              <w:pStyle w:val="160"/>
              <w:widowControl/>
              <w:numPr>
                <w:ilvl w:val="0"/>
                <w:numId w:val="42"/>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设备使用或清洗过程的交叉污染情况；</w:t>
            </w:r>
          </w:p>
          <w:p>
            <w:pPr>
              <w:pStyle w:val="160"/>
              <w:widowControl/>
              <w:numPr>
                <w:ilvl w:val="0"/>
                <w:numId w:val="42"/>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产生的有机污染气体和气味及其控制；</w:t>
            </w:r>
          </w:p>
          <w:p>
            <w:pPr>
              <w:pStyle w:val="160"/>
              <w:widowControl/>
              <w:numPr>
                <w:ilvl w:val="0"/>
                <w:numId w:val="42"/>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产生的废水及其控制；</w:t>
            </w:r>
          </w:p>
          <w:p>
            <w:pPr>
              <w:pStyle w:val="160"/>
              <w:widowControl/>
              <w:numPr>
                <w:ilvl w:val="0"/>
                <w:numId w:val="42"/>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处理后的废水达标排放；</w:t>
            </w:r>
          </w:p>
          <w:p>
            <w:pPr>
              <w:pStyle w:val="160"/>
              <w:widowControl/>
              <w:numPr>
                <w:ilvl w:val="0"/>
                <w:numId w:val="42"/>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产生的固体废物处置。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8" w:hRule="atLeast"/>
          <w:jc w:val="center"/>
        </w:trPr>
        <w:tc>
          <w:tcPr>
            <w:tcW w:w="1491" w:type="dxa"/>
            <w:vMerge w:val="continue"/>
            <w:vAlign w:val="center"/>
          </w:tcPr>
          <w:p>
            <w:pPr>
              <w:widowControl/>
              <w:spacing w:line="260" w:lineRule="exact"/>
              <w:jc w:val="center"/>
              <w:rPr>
                <w:rFonts w:ascii="Times New Roman" w:hAnsi="Times New Roman" w:cs="Times New Roman"/>
                <w:b/>
                <w:bCs/>
                <w:color w:val="auto"/>
                <w:kern w:val="0"/>
                <w:sz w:val="24"/>
                <w:szCs w:val="24"/>
              </w:rPr>
            </w:pPr>
          </w:p>
        </w:tc>
        <w:tc>
          <w:tcPr>
            <w:tcW w:w="7655" w:type="dxa"/>
            <w:vAlign w:val="center"/>
          </w:tcPr>
          <w:p>
            <w:pPr>
              <w:widowControl/>
              <w:spacing w:line="260" w:lineRule="exact"/>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（三）修复后地下水排放环节</w:t>
            </w:r>
          </w:p>
          <w:p>
            <w:pPr>
              <w:pStyle w:val="160"/>
              <w:widowControl/>
              <w:numPr>
                <w:ilvl w:val="0"/>
                <w:numId w:val="43"/>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出水回灌方式和路线；</w:t>
            </w:r>
          </w:p>
          <w:p>
            <w:pPr>
              <w:pStyle w:val="160"/>
              <w:widowControl/>
              <w:numPr>
                <w:ilvl w:val="0"/>
                <w:numId w:val="43"/>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纳管位置和经纳管排放后的去向。</w:t>
            </w:r>
          </w:p>
        </w:tc>
        <w:tc>
          <w:tcPr>
            <w:tcW w:w="5737" w:type="dxa"/>
            <w:vAlign w:val="center"/>
          </w:tcPr>
          <w:p>
            <w:pPr>
              <w:pStyle w:val="160"/>
              <w:widowControl/>
              <w:numPr>
                <w:ilvl w:val="0"/>
                <w:numId w:val="44"/>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排放管道材质及密封性能；</w:t>
            </w:r>
          </w:p>
          <w:p>
            <w:pPr>
              <w:pStyle w:val="160"/>
              <w:widowControl/>
              <w:numPr>
                <w:ilvl w:val="0"/>
                <w:numId w:val="44"/>
              </w:numPr>
              <w:spacing w:line="260" w:lineRule="exact"/>
              <w:ind w:firstLineChars="0"/>
              <w:jc w:val="left"/>
              <w:rPr>
                <w:rFonts w:ascii="Times New Roman" w:hAnsi="Times New Roman" w:cs="Times New Roman"/>
                <w:color w:val="auto"/>
                <w:kern w:val="0"/>
                <w:sz w:val="24"/>
                <w:szCs w:val="24"/>
              </w:rPr>
            </w:pPr>
            <w:r>
              <w:rPr>
                <w:rFonts w:ascii="Times New Roman" w:hAnsi="Times New Roman" w:cs="Times New Roman"/>
                <w:color w:val="auto"/>
                <w:kern w:val="0"/>
                <w:sz w:val="24"/>
                <w:szCs w:val="24"/>
              </w:rPr>
              <w:t>产生的废水及其控制。</w:t>
            </w:r>
          </w:p>
        </w:tc>
      </w:tr>
      <w:bookmarkEnd w:id="120"/>
    </w:tbl>
    <w:p>
      <w:pPr>
        <w:widowControl/>
        <w:spacing w:line="360" w:lineRule="auto"/>
        <w:jc w:val="left"/>
        <w:rPr>
          <w:color w:val="auto"/>
        </w:rPr>
        <w:sectPr>
          <w:headerReference r:id="rId10" w:type="default"/>
          <w:footerReference r:id="rId11" w:type="default"/>
          <w:pgSz w:w="16838" w:h="11906" w:orient="landscape"/>
          <w:pgMar w:top="1440" w:right="1440" w:bottom="1440" w:left="1440" w:header="851" w:footer="992" w:gutter="0"/>
          <w:cols w:space="720" w:num="1"/>
          <w:docGrid w:type="lines" w:linePitch="312" w:charSpace="0"/>
        </w:sectPr>
      </w:pPr>
    </w:p>
    <w:p>
      <w:pPr>
        <w:pStyle w:val="58"/>
        <w:numPr>
          <w:ilvl w:val="0"/>
          <w:numId w:val="0"/>
        </w:numPr>
        <w:spacing w:line="560" w:lineRule="exact"/>
        <w:jc w:val="center"/>
        <w:outlineLvl w:val="3"/>
        <w:rPr>
          <w:rFonts w:ascii="Times New Roman" w:hAnsi="Times New Roman" w:cs="Times New Roman"/>
          <w:color w:val="auto"/>
          <w:sz w:val="24"/>
        </w:rPr>
      </w:pPr>
      <w:r>
        <w:rPr>
          <w:rFonts w:ascii="Times New Roman" w:hAnsi="Times New Roman" w:cs="Times New Roman"/>
          <w:color w:val="auto"/>
          <w:sz w:val="24"/>
        </w:rPr>
        <w:t>表2 常用土壤污染修复技术环境监理要点</w:t>
      </w:r>
    </w:p>
    <w:tbl>
      <w:tblPr>
        <w:tblStyle w:val="45"/>
        <w:tblW w:w="143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2907"/>
        <w:gridCol w:w="1062"/>
        <w:gridCol w:w="1074"/>
        <w:gridCol w:w="1066"/>
        <w:gridCol w:w="1069"/>
        <w:gridCol w:w="1066"/>
        <w:gridCol w:w="917"/>
        <w:gridCol w:w="1066"/>
        <w:gridCol w:w="1066"/>
        <w:gridCol w:w="1066"/>
        <w:gridCol w:w="1066"/>
        <w:gridCol w:w="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9" w:hRule="atLeast"/>
          <w:tblHeader/>
          <w:jc w:val="center"/>
        </w:trPr>
        <w:tc>
          <w:tcPr>
            <w:tcW w:w="2907" w:type="dxa"/>
            <w:vMerge w:val="restart"/>
            <w:tcBorders>
              <w:tl2br w:val="single" w:color="auto" w:sz="4" w:space="0"/>
            </w:tcBorders>
            <w:vAlign w:val="center"/>
          </w:tcPr>
          <w:p>
            <w:pPr>
              <w:widowControl/>
              <w:spacing w:line="300" w:lineRule="exact"/>
              <w:jc w:val="right"/>
              <w:rPr>
                <w:rFonts w:ascii="Times New Roman" w:hAnsi="Times New Roman" w:cs="Times New Roman"/>
                <w:b/>
                <w:bCs/>
                <w:color w:val="auto"/>
                <w:kern w:val="0"/>
                <w:sz w:val="24"/>
                <w:szCs w:val="24"/>
              </w:rPr>
            </w:pPr>
            <w:r>
              <w:rPr>
                <w:rFonts w:ascii="Times New Roman" w:hAnsi="Times New Roman" w:cs="Times New Roman"/>
                <w:b/>
                <w:bCs/>
                <w:color w:val="auto"/>
                <w:kern w:val="0"/>
                <w:sz w:val="24"/>
                <w:szCs w:val="24"/>
              </w:rPr>
              <w:t>土壤污染修复技术</w:t>
            </w:r>
          </w:p>
          <w:p>
            <w:pPr>
              <w:widowControl/>
              <w:spacing w:line="300" w:lineRule="exact"/>
              <w:rPr>
                <w:rFonts w:ascii="Times New Roman" w:hAnsi="Times New Roman" w:cs="Times New Roman"/>
                <w:b/>
                <w:bCs/>
                <w:color w:val="auto"/>
                <w:kern w:val="0"/>
                <w:sz w:val="24"/>
                <w:szCs w:val="24"/>
              </w:rPr>
            </w:pPr>
          </w:p>
          <w:p>
            <w:pPr>
              <w:widowControl/>
              <w:spacing w:line="300" w:lineRule="exact"/>
              <w:jc w:val="left"/>
              <w:rPr>
                <w:rFonts w:ascii="Times New Roman" w:hAnsi="Times New Roman" w:cs="Times New Roman"/>
                <w:b/>
                <w:bCs/>
                <w:color w:val="auto"/>
                <w:kern w:val="0"/>
                <w:sz w:val="24"/>
                <w:szCs w:val="24"/>
              </w:rPr>
            </w:pPr>
            <w:r>
              <w:rPr>
                <w:rFonts w:ascii="Times New Roman" w:hAnsi="Times New Roman" w:cs="Times New Roman"/>
                <w:b/>
                <w:bCs/>
                <w:color w:val="auto"/>
                <w:kern w:val="0"/>
                <w:sz w:val="24"/>
                <w:szCs w:val="24"/>
              </w:rPr>
              <w:t>环境监理要点</w:t>
            </w:r>
          </w:p>
        </w:tc>
        <w:tc>
          <w:tcPr>
            <w:tcW w:w="2136" w:type="dxa"/>
            <w:gridSpan w:val="2"/>
            <w:vAlign w:val="center"/>
          </w:tcPr>
          <w:p>
            <w:pPr>
              <w:widowControl/>
              <w:spacing w:line="300" w:lineRule="exact"/>
              <w:jc w:val="center"/>
              <w:rPr>
                <w:rFonts w:ascii="Times New Roman" w:hAnsi="Times New Roman" w:cs="Times New Roman"/>
                <w:b/>
                <w:bCs/>
                <w:color w:val="auto"/>
                <w:kern w:val="0"/>
                <w:sz w:val="24"/>
                <w:szCs w:val="24"/>
              </w:rPr>
            </w:pPr>
            <w:r>
              <w:rPr>
                <w:rFonts w:ascii="Times New Roman" w:hAnsi="Times New Roman" w:cs="Times New Roman"/>
                <w:b/>
                <w:bCs/>
                <w:color w:val="auto"/>
                <w:kern w:val="0"/>
                <w:sz w:val="24"/>
                <w:szCs w:val="24"/>
              </w:rPr>
              <w:t>固化/稳定化</w:t>
            </w:r>
          </w:p>
        </w:tc>
        <w:tc>
          <w:tcPr>
            <w:tcW w:w="2135" w:type="dxa"/>
            <w:gridSpan w:val="2"/>
            <w:vAlign w:val="center"/>
          </w:tcPr>
          <w:p>
            <w:pPr>
              <w:widowControl/>
              <w:spacing w:line="300" w:lineRule="exact"/>
              <w:jc w:val="center"/>
              <w:rPr>
                <w:rFonts w:ascii="Times New Roman" w:hAnsi="Times New Roman" w:cs="Times New Roman"/>
                <w:b/>
                <w:bCs/>
                <w:color w:val="auto"/>
                <w:kern w:val="0"/>
                <w:sz w:val="24"/>
                <w:szCs w:val="24"/>
              </w:rPr>
            </w:pPr>
            <w:r>
              <w:rPr>
                <w:rFonts w:ascii="Times New Roman" w:hAnsi="Times New Roman" w:cs="Times New Roman"/>
                <w:b/>
                <w:bCs/>
                <w:color w:val="auto"/>
                <w:kern w:val="0"/>
                <w:sz w:val="24"/>
                <w:szCs w:val="24"/>
              </w:rPr>
              <w:t>化学氧化还原</w:t>
            </w:r>
          </w:p>
        </w:tc>
        <w:tc>
          <w:tcPr>
            <w:tcW w:w="1066" w:type="dxa"/>
            <w:vMerge w:val="restart"/>
            <w:vAlign w:val="center"/>
          </w:tcPr>
          <w:p>
            <w:pPr>
              <w:widowControl/>
              <w:spacing w:line="300" w:lineRule="exact"/>
              <w:jc w:val="center"/>
              <w:rPr>
                <w:rFonts w:ascii="Times New Roman" w:hAnsi="Times New Roman" w:cs="Times New Roman"/>
                <w:b/>
                <w:bCs/>
                <w:color w:val="auto"/>
                <w:kern w:val="0"/>
                <w:sz w:val="24"/>
                <w:szCs w:val="24"/>
              </w:rPr>
            </w:pPr>
            <w:r>
              <w:rPr>
                <w:rFonts w:ascii="Times New Roman" w:hAnsi="Times New Roman" w:cs="Times New Roman"/>
                <w:b/>
                <w:bCs/>
                <w:color w:val="auto"/>
                <w:kern w:val="0"/>
                <w:sz w:val="24"/>
                <w:szCs w:val="24"/>
              </w:rPr>
              <w:t>异位常温解</w:t>
            </w:r>
            <w:r>
              <w:rPr>
                <w:rFonts w:hint="eastAsia" w:ascii="Times New Roman" w:hAnsi="Times New Roman" w:cs="Times New Roman"/>
                <w:b/>
                <w:bCs/>
                <w:color w:val="auto"/>
                <w:kern w:val="0"/>
                <w:sz w:val="24"/>
                <w:szCs w:val="24"/>
              </w:rPr>
              <w:t>吸</w:t>
            </w:r>
          </w:p>
        </w:tc>
        <w:tc>
          <w:tcPr>
            <w:tcW w:w="1983" w:type="dxa"/>
            <w:gridSpan w:val="2"/>
            <w:vAlign w:val="center"/>
          </w:tcPr>
          <w:p>
            <w:pPr>
              <w:widowControl/>
              <w:spacing w:line="300" w:lineRule="exact"/>
              <w:jc w:val="center"/>
              <w:rPr>
                <w:rFonts w:ascii="Times New Roman" w:hAnsi="Times New Roman" w:cs="Times New Roman"/>
                <w:b/>
                <w:bCs/>
                <w:color w:val="auto"/>
                <w:kern w:val="0"/>
                <w:sz w:val="24"/>
                <w:szCs w:val="24"/>
              </w:rPr>
            </w:pPr>
            <w:r>
              <w:rPr>
                <w:rFonts w:ascii="Times New Roman" w:hAnsi="Times New Roman" w:cs="Times New Roman"/>
                <w:b/>
                <w:bCs/>
                <w:color w:val="auto"/>
                <w:kern w:val="0"/>
                <w:sz w:val="24"/>
                <w:szCs w:val="24"/>
              </w:rPr>
              <w:t>热脱附（热解</w:t>
            </w:r>
            <w:r>
              <w:rPr>
                <w:rFonts w:hint="eastAsia" w:ascii="Times New Roman" w:hAnsi="Times New Roman" w:cs="Times New Roman"/>
                <w:b/>
                <w:bCs/>
                <w:color w:val="auto"/>
                <w:kern w:val="0"/>
                <w:sz w:val="24"/>
                <w:szCs w:val="24"/>
              </w:rPr>
              <w:t>吸</w:t>
            </w:r>
            <w:r>
              <w:rPr>
                <w:rFonts w:ascii="Times New Roman" w:hAnsi="Times New Roman" w:cs="Times New Roman"/>
                <w:b/>
                <w:bCs/>
                <w:color w:val="auto"/>
                <w:kern w:val="0"/>
                <w:sz w:val="24"/>
                <w:szCs w:val="24"/>
              </w:rPr>
              <w:t>）</w:t>
            </w:r>
          </w:p>
        </w:tc>
        <w:tc>
          <w:tcPr>
            <w:tcW w:w="1066" w:type="dxa"/>
            <w:vMerge w:val="restart"/>
            <w:vAlign w:val="center"/>
          </w:tcPr>
          <w:p>
            <w:pPr>
              <w:widowControl/>
              <w:spacing w:line="300" w:lineRule="exact"/>
              <w:jc w:val="center"/>
              <w:rPr>
                <w:rFonts w:ascii="Times New Roman" w:hAnsi="Times New Roman" w:cs="Times New Roman"/>
                <w:b/>
                <w:bCs/>
                <w:color w:val="auto"/>
                <w:kern w:val="0"/>
                <w:sz w:val="24"/>
                <w:szCs w:val="24"/>
              </w:rPr>
            </w:pPr>
            <w:r>
              <w:rPr>
                <w:rFonts w:ascii="Times New Roman" w:hAnsi="Times New Roman" w:cs="Times New Roman"/>
                <w:b/>
                <w:bCs/>
                <w:color w:val="auto"/>
                <w:kern w:val="0"/>
                <w:sz w:val="24"/>
                <w:szCs w:val="24"/>
              </w:rPr>
              <w:t>异位化学淋洗</w:t>
            </w:r>
          </w:p>
        </w:tc>
        <w:tc>
          <w:tcPr>
            <w:tcW w:w="1066" w:type="dxa"/>
            <w:vMerge w:val="restart"/>
          </w:tcPr>
          <w:p>
            <w:pPr>
              <w:widowControl/>
              <w:spacing w:line="300" w:lineRule="exact"/>
              <w:jc w:val="center"/>
              <w:rPr>
                <w:rFonts w:ascii="Times New Roman" w:hAnsi="Times New Roman" w:cs="Times New Roman"/>
                <w:b/>
                <w:bCs/>
                <w:color w:val="auto"/>
                <w:kern w:val="0"/>
                <w:sz w:val="24"/>
                <w:szCs w:val="24"/>
              </w:rPr>
            </w:pPr>
            <w:r>
              <w:rPr>
                <w:rFonts w:ascii="Times New Roman" w:hAnsi="Times New Roman" w:cs="Times New Roman"/>
                <w:b/>
                <w:bCs/>
                <w:color w:val="auto"/>
                <w:kern w:val="0"/>
                <w:sz w:val="24"/>
                <w:szCs w:val="24"/>
              </w:rPr>
              <w:t>水泥窑协同处置</w:t>
            </w:r>
          </w:p>
        </w:tc>
        <w:tc>
          <w:tcPr>
            <w:tcW w:w="1066" w:type="dxa"/>
            <w:vMerge w:val="restart"/>
            <w:vAlign w:val="center"/>
          </w:tcPr>
          <w:p>
            <w:pPr>
              <w:widowControl/>
              <w:spacing w:line="300" w:lineRule="exact"/>
              <w:jc w:val="center"/>
              <w:rPr>
                <w:rFonts w:ascii="Times New Roman" w:hAnsi="Times New Roman" w:cs="Times New Roman"/>
                <w:b/>
                <w:bCs/>
                <w:color w:val="auto"/>
                <w:kern w:val="0"/>
                <w:sz w:val="24"/>
                <w:szCs w:val="24"/>
              </w:rPr>
            </w:pPr>
            <w:r>
              <w:rPr>
                <w:rFonts w:ascii="Times New Roman" w:hAnsi="Times New Roman" w:cs="Times New Roman"/>
                <w:b/>
                <w:bCs/>
                <w:color w:val="auto"/>
                <w:kern w:val="0"/>
                <w:sz w:val="24"/>
                <w:szCs w:val="24"/>
              </w:rPr>
              <w:t>阻隔填埋</w:t>
            </w:r>
          </w:p>
        </w:tc>
        <w:tc>
          <w:tcPr>
            <w:tcW w:w="891" w:type="dxa"/>
            <w:vMerge w:val="restart"/>
            <w:vAlign w:val="center"/>
          </w:tcPr>
          <w:p>
            <w:pPr>
              <w:widowControl/>
              <w:spacing w:line="300" w:lineRule="exact"/>
              <w:jc w:val="center"/>
              <w:rPr>
                <w:rFonts w:ascii="Times New Roman" w:hAnsi="Times New Roman" w:cs="Times New Roman"/>
                <w:b/>
                <w:bCs/>
                <w:color w:val="auto"/>
                <w:kern w:val="0"/>
                <w:sz w:val="24"/>
                <w:szCs w:val="24"/>
              </w:rPr>
            </w:pPr>
            <w:r>
              <w:rPr>
                <w:rFonts w:ascii="Times New Roman" w:hAnsi="Times New Roman" w:cs="Times New Roman"/>
                <w:b/>
                <w:bCs/>
                <w:color w:val="auto"/>
                <w:kern w:val="0"/>
                <w:sz w:val="24"/>
                <w:szCs w:val="24"/>
              </w:rPr>
              <w:t>地下水抽出处理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74" w:hRule="atLeast"/>
          <w:tblHeader/>
          <w:jc w:val="center"/>
        </w:trPr>
        <w:tc>
          <w:tcPr>
            <w:tcW w:w="2907" w:type="dxa"/>
            <w:vMerge w:val="continue"/>
            <w:vAlign w:val="center"/>
          </w:tcPr>
          <w:p>
            <w:pPr>
              <w:widowControl/>
              <w:spacing w:line="300" w:lineRule="exact"/>
              <w:jc w:val="left"/>
              <w:rPr>
                <w:rFonts w:ascii="Times New Roman" w:hAnsi="Times New Roman" w:cs="Times New Roman"/>
                <w:b/>
                <w:bCs/>
                <w:color w:val="auto"/>
                <w:kern w:val="0"/>
                <w:sz w:val="24"/>
                <w:szCs w:val="24"/>
              </w:rPr>
            </w:pPr>
          </w:p>
        </w:tc>
        <w:tc>
          <w:tcPr>
            <w:tcW w:w="1062" w:type="dxa"/>
            <w:vAlign w:val="center"/>
          </w:tcPr>
          <w:p>
            <w:pPr>
              <w:widowControl/>
              <w:spacing w:line="300" w:lineRule="exact"/>
              <w:jc w:val="center"/>
              <w:rPr>
                <w:rFonts w:ascii="Times New Roman" w:hAnsi="Times New Roman" w:cs="Times New Roman"/>
                <w:b/>
                <w:bCs/>
                <w:color w:val="auto"/>
                <w:kern w:val="0"/>
                <w:sz w:val="24"/>
                <w:szCs w:val="24"/>
              </w:rPr>
            </w:pPr>
            <w:r>
              <w:rPr>
                <w:rFonts w:ascii="Times New Roman" w:hAnsi="Times New Roman" w:cs="Times New Roman"/>
                <w:b/>
                <w:bCs/>
                <w:color w:val="auto"/>
                <w:kern w:val="0"/>
                <w:sz w:val="24"/>
                <w:szCs w:val="24"/>
              </w:rPr>
              <w:t>原位</w:t>
            </w:r>
          </w:p>
        </w:tc>
        <w:tc>
          <w:tcPr>
            <w:tcW w:w="1074" w:type="dxa"/>
            <w:vAlign w:val="center"/>
          </w:tcPr>
          <w:p>
            <w:pPr>
              <w:widowControl/>
              <w:spacing w:line="300" w:lineRule="exact"/>
              <w:jc w:val="center"/>
              <w:rPr>
                <w:rFonts w:ascii="Times New Roman" w:hAnsi="Times New Roman" w:cs="Times New Roman"/>
                <w:b/>
                <w:bCs/>
                <w:color w:val="auto"/>
                <w:kern w:val="0"/>
                <w:sz w:val="24"/>
                <w:szCs w:val="24"/>
              </w:rPr>
            </w:pPr>
            <w:r>
              <w:rPr>
                <w:rFonts w:ascii="Times New Roman" w:hAnsi="Times New Roman" w:cs="Times New Roman"/>
                <w:b/>
                <w:bCs/>
                <w:color w:val="auto"/>
                <w:kern w:val="0"/>
                <w:sz w:val="24"/>
                <w:szCs w:val="24"/>
              </w:rPr>
              <w:t>异位</w:t>
            </w:r>
          </w:p>
        </w:tc>
        <w:tc>
          <w:tcPr>
            <w:tcW w:w="1066" w:type="dxa"/>
            <w:vAlign w:val="center"/>
          </w:tcPr>
          <w:p>
            <w:pPr>
              <w:widowControl/>
              <w:spacing w:line="300" w:lineRule="exact"/>
              <w:jc w:val="center"/>
              <w:rPr>
                <w:rFonts w:ascii="Times New Roman" w:hAnsi="Times New Roman" w:cs="Times New Roman"/>
                <w:b/>
                <w:bCs/>
                <w:color w:val="auto"/>
                <w:kern w:val="0"/>
                <w:sz w:val="24"/>
                <w:szCs w:val="24"/>
              </w:rPr>
            </w:pPr>
            <w:r>
              <w:rPr>
                <w:rFonts w:ascii="Times New Roman" w:hAnsi="Times New Roman" w:cs="Times New Roman"/>
                <w:b/>
                <w:bCs/>
                <w:color w:val="auto"/>
                <w:kern w:val="0"/>
                <w:sz w:val="24"/>
                <w:szCs w:val="24"/>
              </w:rPr>
              <w:t>原位</w:t>
            </w:r>
          </w:p>
        </w:tc>
        <w:tc>
          <w:tcPr>
            <w:tcW w:w="1069" w:type="dxa"/>
            <w:vAlign w:val="center"/>
          </w:tcPr>
          <w:p>
            <w:pPr>
              <w:widowControl/>
              <w:spacing w:line="300" w:lineRule="exact"/>
              <w:jc w:val="center"/>
              <w:rPr>
                <w:rFonts w:ascii="Times New Roman" w:hAnsi="Times New Roman" w:cs="Times New Roman"/>
                <w:b/>
                <w:bCs/>
                <w:color w:val="auto"/>
                <w:kern w:val="0"/>
                <w:sz w:val="24"/>
                <w:szCs w:val="24"/>
              </w:rPr>
            </w:pPr>
            <w:r>
              <w:rPr>
                <w:rFonts w:ascii="Times New Roman" w:hAnsi="Times New Roman" w:cs="Times New Roman"/>
                <w:b/>
                <w:bCs/>
                <w:color w:val="auto"/>
                <w:kern w:val="0"/>
                <w:sz w:val="24"/>
                <w:szCs w:val="24"/>
              </w:rPr>
              <w:t>异位</w:t>
            </w:r>
          </w:p>
        </w:tc>
        <w:tc>
          <w:tcPr>
            <w:tcW w:w="1066" w:type="dxa"/>
            <w:vMerge w:val="continue"/>
            <w:vAlign w:val="center"/>
          </w:tcPr>
          <w:p>
            <w:pPr>
              <w:widowControl/>
              <w:spacing w:line="300" w:lineRule="exact"/>
              <w:jc w:val="left"/>
              <w:rPr>
                <w:rFonts w:ascii="Times New Roman" w:hAnsi="Times New Roman" w:cs="Times New Roman"/>
                <w:b/>
                <w:bCs/>
                <w:color w:val="auto"/>
                <w:kern w:val="0"/>
                <w:sz w:val="24"/>
                <w:szCs w:val="24"/>
              </w:rPr>
            </w:pPr>
          </w:p>
        </w:tc>
        <w:tc>
          <w:tcPr>
            <w:tcW w:w="917" w:type="dxa"/>
            <w:vAlign w:val="center"/>
          </w:tcPr>
          <w:p>
            <w:pPr>
              <w:widowControl/>
              <w:spacing w:line="300" w:lineRule="exact"/>
              <w:jc w:val="center"/>
              <w:rPr>
                <w:rFonts w:ascii="Times New Roman" w:hAnsi="Times New Roman" w:cs="Times New Roman"/>
                <w:b/>
                <w:bCs/>
                <w:color w:val="auto"/>
                <w:kern w:val="0"/>
                <w:sz w:val="24"/>
                <w:szCs w:val="24"/>
              </w:rPr>
            </w:pPr>
            <w:r>
              <w:rPr>
                <w:rFonts w:ascii="Times New Roman" w:hAnsi="Times New Roman" w:cs="Times New Roman"/>
                <w:b/>
                <w:bCs/>
                <w:color w:val="auto"/>
                <w:kern w:val="0"/>
                <w:sz w:val="24"/>
                <w:szCs w:val="24"/>
              </w:rPr>
              <w:t>原位</w:t>
            </w:r>
          </w:p>
        </w:tc>
        <w:tc>
          <w:tcPr>
            <w:tcW w:w="1066" w:type="dxa"/>
            <w:vAlign w:val="center"/>
          </w:tcPr>
          <w:p>
            <w:pPr>
              <w:widowControl/>
              <w:spacing w:line="300" w:lineRule="exact"/>
              <w:jc w:val="center"/>
              <w:rPr>
                <w:rFonts w:ascii="Times New Roman" w:hAnsi="Times New Roman" w:cs="Times New Roman"/>
                <w:b/>
                <w:bCs/>
                <w:color w:val="auto"/>
                <w:kern w:val="0"/>
                <w:sz w:val="24"/>
                <w:szCs w:val="24"/>
              </w:rPr>
            </w:pPr>
            <w:r>
              <w:rPr>
                <w:rFonts w:ascii="Times New Roman" w:hAnsi="Times New Roman" w:cs="Times New Roman"/>
                <w:b/>
                <w:bCs/>
                <w:color w:val="auto"/>
                <w:kern w:val="0"/>
                <w:sz w:val="24"/>
                <w:szCs w:val="24"/>
              </w:rPr>
              <w:t>异位</w:t>
            </w:r>
          </w:p>
        </w:tc>
        <w:tc>
          <w:tcPr>
            <w:tcW w:w="1066" w:type="dxa"/>
            <w:vMerge w:val="continue"/>
            <w:vAlign w:val="center"/>
          </w:tcPr>
          <w:p>
            <w:pPr>
              <w:widowControl/>
              <w:spacing w:line="300" w:lineRule="exact"/>
              <w:jc w:val="left"/>
              <w:rPr>
                <w:rFonts w:ascii="Times New Roman" w:hAnsi="Times New Roman" w:cs="Times New Roman"/>
                <w:b/>
                <w:bCs/>
                <w:color w:val="auto"/>
                <w:kern w:val="0"/>
                <w:sz w:val="24"/>
                <w:szCs w:val="24"/>
              </w:rPr>
            </w:pPr>
          </w:p>
        </w:tc>
        <w:tc>
          <w:tcPr>
            <w:tcW w:w="1066" w:type="dxa"/>
            <w:vMerge w:val="continue"/>
            <w:vAlign w:val="center"/>
          </w:tcPr>
          <w:p>
            <w:pPr>
              <w:widowControl/>
              <w:spacing w:line="300" w:lineRule="exact"/>
              <w:jc w:val="left"/>
              <w:rPr>
                <w:rFonts w:ascii="Times New Roman" w:hAnsi="Times New Roman" w:cs="Times New Roman"/>
                <w:b/>
                <w:bCs/>
                <w:color w:val="auto"/>
                <w:kern w:val="0"/>
                <w:sz w:val="24"/>
                <w:szCs w:val="24"/>
              </w:rPr>
            </w:pPr>
          </w:p>
        </w:tc>
        <w:tc>
          <w:tcPr>
            <w:tcW w:w="1066" w:type="dxa"/>
            <w:vMerge w:val="continue"/>
            <w:vAlign w:val="center"/>
          </w:tcPr>
          <w:p>
            <w:pPr>
              <w:widowControl/>
              <w:spacing w:line="300" w:lineRule="exact"/>
              <w:jc w:val="left"/>
              <w:rPr>
                <w:rFonts w:ascii="Times New Roman" w:hAnsi="Times New Roman" w:cs="Times New Roman"/>
                <w:b/>
                <w:bCs/>
                <w:color w:val="auto"/>
                <w:kern w:val="0"/>
                <w:sz w:val="24"/>
                <w:szCs w:val="24"/>
              </w:rPr>
            </w:pPr>
          </w:p>
        </w:tc>
        <w:tc>
          <w:tcPr>
            <w:tcW w:w="891" w:type="dxa"/>
            <w:vMerge w:val="continue"/>
            <w:vAlign w:val="center"/>
          </w:tcPr>
          <w:p>
            <w:pPr>
              <w:widowControl/>
              <w:spacing w:line="300" w:lineRule="exact"/>
              <w:jc w:val="left"/>
              <w:rPr>
                <w:rFonts w:ascii="Times New Roman" w:hAnsi="Times New Roman" w:cs="Times New Roman"/>
                <w:b/>
                <w:bCs/>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01" w:hRule="atLeast"/>
          <w:jc w:val="center"/>
        </w:trPr>
        <w:tc>
          <w:tcPr>
            <w:tcW w:w="290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污染治理工艺废气</w:t>
            </w:r>
          </w:p>
        </w:tc>
        <w:tc>
          <w:tcPr>
            <w:tcW w:w="1062" w:type="dxa"/>
            <w:vAlign w:val="center"/>
          </w:tcPr>
          <w:p>
            <w:pPr>
              <w:widowControl/>
              <w:spacing w:line="300" w:lineRule="exact"/>
              <w:jc w:val="center"/>
              <w:rPr>
                <w:rFonts w:ascii="Times New Roman" w:hAnsi="Times New Roman" w:cs="Times New Roman"/>
                <w:color w:val="auto"/>
                <w:kern w:val="0"/>
                <w:sz w:val="24"/>
                <w:szCs w:val="24"/>
              </w:rPr>
            </w:pPr>
          </w:p>
        </w:tc>
        <w:tc>
          <w:tcPr>
            <w:tcW w:w="1074" w:type="dxa"/>
            <w:vAlign w:val="center"/>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p>
        </w:tc>
        <w:tc>
          <w:tcPr>
            <w:tcW w:w="1069"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91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tcPr>
          <w:p>
            <w:pPr>
              <w:widowControl/>
              <w:spacing w:line="300" w:lineRule="exact"/>
              <w:jc w:val="center"/>
              <w:rPr>
                <w:rFonts w:ascii="Times New Roman" w:hAnsi="Times New Roman" w:cs="Times New Roman"/>
                <w:color w:val="auto"/>
                <w:kern w:val="0"/>
                <w:sz w:val="24"/>
                <w:szCs w:val="24"/>
              </w:rPr>
            </w:pPr>
          </w:p>
        </w:tc>
        <w:tc>
          <w:tcPr>
            <w:tcW w:w="891"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01" w:hRule="atLeast"/>
          <w:jc w:val="center"/>
        </w:trPr>
        <w:tc>
          <w:tcPr>
            <w:tcW w:w="290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工程开挖</w:t>
            </w:r>
          </w:p>
        </w:tc>
        <w:tc>
          <w:tcPr>
            <w:tcW w:w="1062" w:type="dxa"/>
            <w:vAlign w:val="center"/>
          </w:tcPr>
          <w:p>
            <w:pPr>
              <w:widowControl/>
              <w:spacing w:line="300" w:lineRule="exact"/>
              <w:jc w:val="center"/>
              <w:rPr>
                <w:rFonts w:ascii="Times New Roman" w:hAnsi="Times New Roman" w:cs="Times New Roman"/>
                <w:color w:val="auto"/>
                <w:kern w:val="0"/>
                <w:sz w:val="24"/>
                <w:szCs w:val="24"/>
              </w:rPr>
            </w:pPr>
          </w:p>
        </w:tc>
        <w:tc>
          <w:tcPr>
            <w:tcW w:w="1074"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p>
        </w:tc>
        <w:tc>
          <w:tcPr>
            <w:tcW w:w="1069"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917" w:type="dxa"/>
            <w:vAlign w:val="center"/>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p>
        </w:tc>
        <w:tc>
          <w:tcPr>
            <w:tcW w:w="891" w:type="dxa"/>
            <w:vAlign w:val="center"/>
          </w:tcPr>
          <w:p>
            <w:pPr>
              <w:widowControl/>
              <w:spacing w:line="300" w:lineRule="exact"/>
              <w:jc w:val="center"/>
              <w:rPr>
                <w:rFonts w:ascii="Times New Roman" w:hAnsi="Times New Roman" w:cs="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01" w:hRule="atLeast"/>
          <w:jc w:val="center"/>
        </w:trPr>
        <w:tc>
          <w:tcPr>
            <w:tcW w:w="290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土方短驳或运输</w:t>
            </w:r>
          </w:p>
        </w:tc>
        <w:tc>
          <w:tcPr>
            <w:tcW w:w="1062" w:type="dxa"/>
            <w:vAlign w:val="center"/>
          </w:tcPr>
          <w:p>
            <w:pPr>
              <w:widowControl/>
              <w:spacing w:line="300" w:lineRule="exact"/>
              <w:jc w:val="center"/>
              <w:rPr>
                <w:rFonts w:ascii="Times New Roman" w:hAnsi="Times New Roman" w:cs="Times New Roman"/>
                <w:color w:val="auto"/>
                <w:kern w:val="0"/>
                <w:sz w:val="24"/>
                <w:szCs w:val="24"/>
              </w:rPr>
            </w:pPr>
          </w:p>
        </w:tc>
        <w:tc>
          <w:tcPr>
            <w:tcW w:w="1074"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p>
        </w:tc>
        <w:tc>
          <w:tcPr>
            <w:tcW w:w="1069" w:type="dxa"/>
            <w:vAlign w:val="center"/>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917" w:type="dxa"/>
            <w:vAlign w:val="center"/>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891" w:type="dxa"/>
            <w:vAlign w:val="center"/>
          </w:tcPr>
          <w:p>
            <w:pPr>
              <w:widowControl/>
              <w:spacing w:line="300" w:lineRule="exact"/>
              <w:jc w:val="center"/>
              <w:rPr>
                <w:rFonts w:ascii="Times New Roman" w:hAnsi="Times New Roman" w:cs="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01" w:hRule="atLeast"/>
          <w:jc w:val="center"/>
        </w:trPr>
        <w:tc>
          <w:tcPr>
            <w:tcW w:w="290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土方堆放</w:t>
            </w:r>
          </w:p>
        </w:tc>
        <w:tc>
          <w:tcPr>
            <w:tcW w:w="1062" w:type="dxa"/>
            <w:vAlign w:val="center"/>
          </w:tcPr>
          <w:p>
            <w:pPr>
              <w:widowControl/>
              <w:spacing w:line="300" w:lineRule="exact"/>
              <w:jc w:val="center"/>
              <w:rPr>
                <w:rFonts w:ascii="Times New Roman" w:hAnsi="Times New Roman" w:cs="Times New Roman"/>
                <w:color w:val="auto"/>
                <w:kern w:val="0"/>
                <w:sz w:val="24"/>
                <w:szCs w:val="24"/>
              </w:rPr>
            </w:pPr>
          </w:p>
        </w:tc>
        <w:tc>
          <w:tcPr>
            <w:tcW w:w="1074"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p>
        </w:tc>
        <w:tc>
          <w:tcPr>
            <w:tcW w:w="1069" w:type="dxa"/>
            <w:vAlign w:val="center"/>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917" w:type="dxa"/>
            <w:vAlign w:val="center"/>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891" w:type="dxa"/>
            <w:vAlign w:val="center"/>
          </w:tcPr>
          <w:p>
            <w:pPr>
              <w:widowControl/>
              <w:spacing w:line="300" w:lineRule="exact"/>
              <w:jc w:val="center"/>
              <w:rPr>
                <w:rFonts w:ascii="Times New Roman" w:hAnsi="Times New Roman" w:cs="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290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工程机械尾气</w:t>
            </w:r>
          </w:p>
        </w:tc>
        <w:tc>
          <w:tcPr>
            <w:tcW w:w="1062"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74"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9"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91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891"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290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运输车辆尾气</w:t>
            </w:r>
          </w:p>
        </w:tc>
        <w:tc>
          <w:tcPr>
            <w:tcW w:w="1062"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74"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9"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917" w:type="dxa"/>
            <w:vAlign w:val="center"/>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891"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01" w:hRule="atLeast"/>
          <w:jc w:val="center"/>
        </w:trPr>
        <w:tc>
          <w:tcPr>
            <w:tcW w:w="290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污染治理工艺废水排放</w:t>
            </w:r>
          </w:p>
        </w:tc>
        <w:tc>
          <w:tcPr>
            <w:tcW w:w="1062"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74"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p>
        </w:tc>
        <w:tc>
          <w:tcPr>
            <w:tcW w:w="1069"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917" w:type="dxa"/>
            <w:vAlign w:val="center"/>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p>
        </w:tc>
        <w:tc>
          <w:tcPr>
            <w:tcW w:w="891"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0" w:hRule="atLeast"/>
          <w:jc w:val="center"/>
        </w:trPr>
        <w:tc>
          <w:tcPr>
            <w:tcW w:w="290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污染土或废物堆存期间的雨水淋滤</w:t>
            </w:r>
          </w:p>
        </w:tc>
        <w:tc>
          <w:tcPr>
            <w:tcW w:w="1062"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74"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9" w:type="dxa"/>
            <w:vAlign w:val="center"/>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917" w:type="dxa"/>
            <w:vAlign w:val="center"/>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891" w:type="dxa"/>
            <w:vAlign w:val="center"/>
          </w:tcPr>
          <w:p>
            <w:pPr>
              <w:widowControl/>
              <w:spacing w:line="300" w:lineRule="exact"/>
              <w:jc w:val="center"/>
              <w:rPr>
                <w:rFonts w:ascii="Times New Roman" w:hAnsi="Times New Roman" w:cs="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0" w:hRule="atLeast"/>
          <w:jc w:val="center"/>
        </w:trPr>
        <w:tc>
          <w:tcPr>
            <w:tcW w:w="290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污染土或废物运输过程中发生遗撒经雨水冲刷</w:t>
            </w:r>
          </w:p>
        </w:tc>
        <w:tc>
          <w:tcPr>
            <w:tcW w:w="1062" w:type="dxa"/>
            <w:vAlign w:val="center"/>
          </w:tcPr>
          <w:p>
            <w:pPr>
              <w:widowControl/>
              <w:spacing w:line="300" w:lineRule="exact"/>
              <w:jc w:val="center"/>
              <w:rPr>
                <w:rFonts w:ascii="Times New Roman" w:hAnsi="Times New Roman" w:cs="Times New Roman"/>
                <w:color w:val="auto"/>
                <w:kern w:val="0"/>
                <w:sz w:val="24"/>
                <w:szCs w:val="24"/>
              </w:rPr>
            </w:pPr>
          </w:p>
        </w:tc>
        <w:tc>
          <w:tcPr>
            <w:tcW w:w="1074"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p>
        </w:tc>
        <w:tc>
          <w:tcPr>
            <w:tcW w:w="1069" w:type="dxa"/>
            <w:vAlign w:val="center"/>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917" w:type="dxa"/>
            <w:vAlign w:val="center"/>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891" w:type="dxa"/>
            <w:vAlign w:val="center"/>
          </w:tcPr>
          <w:p>
            <w:pPr>
              <w:widowControl/>
              <w:spacing w:line="300" w:lineRule="exact"/>
              <w:jc w:val="center"/>
              <w:rPr>
                <w:rFonts w:ascii="Times New Roman" w:hAnsi="Times New Roman" w:cs="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0" w:hRule="atLeast"/>
          <w:jc w:val="center"/>
        </w:trPr>
        <w:tc>
          <w:tcPr>
            <w:tcW w:w="290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污染土或化学品在运输中发生交通事故经雨水冲刷</w:t>
            </w:r>
          </w:p>
        </w:tc>
        <w:tc>
          <w:tcPr>
            <w:tcW w:w="1062"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74"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9"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917" w:type="dxa"/>
            <w:vAlign w:val="center"/>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891"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0" w:hRule="atLeast"/>
          <w:jc w:val="center"/>
        </w:trPr>
        <w:tc>
          <w:tcPr>
            <w:tcW w:w="290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设施、设备、工具及器具清洗废水排放</w:t>
            </w:r>
          </w:p>
        </w:tc>
        <w:tc>
          <w:tcPr>
            <w:tcW w:w="1062"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74"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9"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91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891"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01" w:hRule="atLeast"/>
          <w:jc w:val="center"/>
        </w:trPr>
        <w:tc>
          <w:tcPr>
            <w:tcW w:w="290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污染土清挖过程中基坑积水</w:t>
            </w:r>
          </w:p>
        </w:tc>
        <w:tc>
          <w:tcPr>
            <w:tcW w:w="1062" w:type="dxa"/>
            <w:vAlign w:val="center"/>
          </w:tcPr>
          <w:p>
            <w:pPr>
              <w:widowControl/>
              <w:spacing w:line="300" w:lineRule="exact"/>
              <w:jc w:val="center"/>
              <w:rPr>
                <w:rFonts w:ascii="Times New Roman" w:hAnsi="Times New Roman" w:cs="Times New Roman"/>
                <w:color w:val="auto"/>
                <w:kern w:val="0"/>
                <w:sz w:val="24"/>
                <w:szCs w:val="24"/>
              </w:rPr>
            </w:pPr>
          </w:p>
        </w:tc>
        <w:tc>
          <w:tcPr>
            <w:tcW w:w="1074"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p>
        </w:tc>
        <w:tc>
          <w:tcPr>
            <w:tcW w:w="1069"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917" w:type="dxa"/>
            <w:vAlign w:val="center"/>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891" w:type="dxa"/>
            <w:vAlign w:val="center"/>
          </w:tcPr>
          <w:p>
            <w:pPr>
              <w:widowControl/>
              <w:spacing w:line="300" w:lineRule="exact"/>
              <w:jc w:val="center"/>
              <w:rPr>
                <w:rFonts w:ascii="Times New Roman" w:hAnsi="Times New Roman" w:cs="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0" w:hRule="atLeast"/>
          <w:jc w:val="center"/>
        </w:trPr>
        <w:tc>
          <w:tcPr>
            <w:tcW w:w="290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防止土孔或井在使用过程中向含水层渗漏</w:t>
            </w:r>
          </w:p>
        </w:tc>
        <w:tc>
          <w:tcPr>
            <w:tcW w:w="1062"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74" w:type="dxa"/>
            <w:vAlign w:val="center"/>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9" w:type="dxa"/>
            <w:vAlign w:val="center"/>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p>
        </w:tc>
        <w:tc>
          <w:tcPr>
            <w:tcW w:w="91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p>
        </w:tc>
        <w:tc>
          <w:tcPr>
            <w:tcW w:w="1066" w:type="dxa"/>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p>
        </w:tc>
        <w:tc>
          <w:tcPr>
            <w:tcW w:w="891"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01" w:hRule="atLeast"/>
          <w:jc w:val="center"/>
        </w:trPr>
        <w:tc>
          <w:tcPr>
            <w:tcW w:w="290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水处理中废水的排放</w:t>
            </w:r>
          </w:p>
        </w:tc>
        <w:tc>
          <w:tcPr>
            <w:tcW w:w="1062" w:type="dxa"/>
            <w:vAlign w:val="center"/>
          </w:tcPr>
          <w:p>
            <w:pPr>
              <w:widowControl/>
              <w:spacing w:line="300" w:lineRule="exact"/>
              <w:jc w:val="center"/>
              <w:rPr>
                <w:rFonts w:ascii="Times New Roman" w:hAnsi="Times New Roman" w:cs="Times New Roman"/>
                <w:color w:val="auto"/>
                <w:kern w:val="0"/>
                <w:sz w:val="24"/>
                <w:szCs w:val="24"/>
              </w:rPr>
            </w:pPr>
          </w:p>
        </w:tc>
        <w:tc>
          <w:tcPr>
            <w:tcW w:w="1074"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p>
        </w:tc>
        <w:tc>
          <w:tcPr>
            <w:tcW w:w="1069"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917" w:type="dxa"/>
            <w:vAlign w:val="center"/>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891"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01" w:hRule="atLeast"/>
          <w:jc w:val="center"/>
        </w:trPr>
        <w:tc>
          <w:tcPr>
            <w:tcW w:w="290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实施中污染土或废物散落泄漏</w:t>
            </w:r>
          </w:p>
        </w:tc>
        <w:tc>
          <w:tcPr>
            <w:tcW w:w="1062" w:type="dxa"/>
            <w:vAlign w:val="center"/>
          </w:tcPr>
          <w:p>
            <w:pPr>
              <w:widowControl/>
              <w:spacing w:line="300" w:lineRule="exact"/>
              <w:jc w:val="center"/>
              <w:rPr>
                <w:rFonts w:ascii="Times New Roman" w:hAnsi="Times New Roman" w:cs="Times New Roman"/>
                <w:color w:val="auto"/>
                <w:kern w:val="0"/>
                <w:sz w:val="24"/>
                <w:szCs w:val="24"/>
              </w:rPr>
            </w:pPr>
          </w:p>
        </w:tc>
        <w:tc>
          <w:tcPr>
            <w:tcW w:w="1074"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p>
        </w:tc>
        <w:tc>
          <w:tcPr>
            <w:tcW w:w="1069"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917" w:type="dxa"/>
            <w:vAlign w:val="center"/>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891"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01" w:hRule="atLeast"/>
          <w:jc w:val="center"/>
        </w:trPr>
        <w:tc>
          <w:tcPr>
            <w:tcW w:w="2907"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对目标含水层修复时形成新污染</w:t>
            </w:r>
          </w:p>
        </w:tc>
        <w:tc>
          <w:tcPr>
            <w:tcW w:w="1062"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p>
        </w:tc>
        <w:tc>
          <w:tcPr>
            <w:tcW w:w="1074"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p>
        </w:tc>
        <w:tc>
          <w:tcPr>
            <w:tcW w:w="1066"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9"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p>
        </w:tc>
        <w:tc>
          <w:tcPr>
            <w:tcW w:w="1066"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p>
        </w:tc>
        <w:tc>
          <w:tcPr>
            <w:tcW w:w="917"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p>
        </w:tc>
        <w:tc>
          <w:tcPr>
            <w:tcW w:w="1066" w:type="dxa"/>
            <w:shd w:val="clear" w:color="auto" w:fill="auto"/>
            <w:vAlign w:val="center"/>
          </w:tcPr>
          <w:p>
            <w:pPr>
              <w:widowControl/>
              <w:spacing w:line="300" w:lineRule="exact"/>
              <w:jc w:val="left"/>
              <w:rPr>
                <w:rFonts w:ascii="Times New Roman" w:hAnsi="Times New Roman" w:cs="Times New Roman"/>
                <w:color w:val="auto"/>
                <w:kern w:val="0"/>
                <w:sz w:val="24"/>
                <w:szCs w:val="24"/>
              </w:rPr>
            </w:pPr>
          </w:p>
        </w:tc>
        <w:tc>
          <w:tcPr>
            <w:tcW w:w="1066"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p>
        </w:tc>
        <w:tc>
          <w:tcPr>
            <w:tcW w:w="1066" w:type="dxa"/>
            <w:shd w:val="clear" w:color="auto" w:fill="auto"/>
          </w:tcPr>
          <w:p>
            <w:pPr>
              <w:widowControl/>
              <w:spacing w:line="300" w:lineRule="exact"/>
              <w:jc w:val="center"/>
              <w:rPr>
                <w:rFonts w:ascii="Times New Roman" w:hAnsi="Times New Roman" w:cs="Times New Roman"/>
                <w:color w:val="auto"/>
                <w:kern w:val="0"/>
                <w:sz w:val="24"/>
                <w:szCs w:val="24"/>
              </w:rPr>
            </w:pPr>
          </w:p>
        </w:tc>
        <w:tc>
          <w:tcPr>
            <w:tcW w:w="1066"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891"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0" w:hRule="atLeast"/>
          <w:jc w:val="center"/>
        </w:trPr>
        <w:tc>
          <w:tcPr>
            <w:tcW w:w="2907"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修复过程中影响其他含水层并造成新污染</w:t>
            </w:r>
          </w:p>
        </w:tc>
        <w:tc>
          <w:tcPr>
            <w:tcW w:w="1062"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74"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p>
        </w:tc>
        <w:tc>
          <w:tcPr>
            <w:tcW w:w="1066"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9"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p>
        </w:tc>
        <w:tc>
          <w:tcPr>
            <w:tcW w:w="1066"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p>
        </w:tc>
        <w:tc>
          <w:tcPr>
            <w:tcW w:w="917"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p>
        </w:tc>
        <w:tc>
          <w:tcPr>
            <w:tcW w:w="1066"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p>
        </w:tc>
        <w:tc>
          <w:tcPr>
            <w:tcW w:w="1066"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p>
        </w:tc>
        <w:tc>
          <w:tcPr>
            <w:tcW w:w="1066" w:type="dxa"/>
            <w:shd w:val="clear" w:color="auto" w:fill="auto"/>
          </w:tcPr>
          <w:p>
            <w:pPr>
              <w:widowControl/>
              <w:spacing w:line="300" w:lineRule="exact"/>
              <w:jc w:val="center"/>
              <w:rPr>
                <w:rFonts w:ascii="Times New Roman" w:hAnsi="Times New Roman" w:cs="Times New Roman"/>
                <w:color w:val="auto"/>
                <w:kern w:val="0"/>
                <w:sz w:val="24"/>
                <w:szCs w:val="24"/>
              </w:rPr>
            </w:pPr>
          </w:p>
        </w:tc>
        <w:tc>
          <w:tcPr>
            <w:tcW w:w="1066"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891"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01" w:hRule="atLeast"/>
          <w:jc w:val="center"/>
        </w:trPr>
        <w:tc>
          <w:tcPr>
            <w:tcW w:w="2907"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土壤污染修复工程工艺及废物排放</w:t>
            </w:r>
          </w:p>
        </w:tc>
        <w:tc>
          <w:tcPr>
            <w:tcW w:w="1062"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74"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9"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917"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p>
        </w:tc>
        <w:tc>
          <w:tcPr>
            <w:tcW w:w="891"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01" w:hRule="atLeast"/>
          <w:jc w:val="center"/>
        </w:trPr>
        <w:tc>
          <w:tcPr>
            <w:tcW w:w="2907"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污染土壤治理后回填</w:t>
            </w:r>
          </w:p>
        </w:tc>
        <w:tc>
          <w:tcPr>
            <w:tcW w:w="1062"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p>
        </w:tc>
        <w:tc>
          <w:tcPr>
            <w:tcW w:w="1074"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p>
        </w:tc>
        <w:tc>
          <w:tcPr>
            <w:tcW w:w="1069"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917"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p>
        </w:tc>
        <w:tc>
          <w:tcPr>
            <w:tcW w:w="1066"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shd w:val="clear" w:color="auto" w:fill="auto"/>
          </w:tcPr>
          <w:p>
            <w:pPr>
              <w:widowControl/>
              <w:spacing w:line="300" w:lineRule="exact"/>
              <w:jc w:val="center"/>
              <w:rPr>
                <w:rFonts w:ascii="Times New Roman" w:hAnsi="Times New Roman" w:cs="Times New Roman"/>
                <w:color w:val="auto"/>
                <w:kern w:val="0"/>
                <w:sz w:val="24"/>
                <w:szCs w:val="24"/>
              </w:rPr>
            </w:pPr>
          </w:p>
        </w:tc>
        <w:tc>
          <w:tcPr>
            <w:tcW w:w="1066"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891" w:type="dxa"/>
            <w:shd w:val="clear" w:color="auto" w:fill="auto"/>
            <w:vAlign w:val="center"/>
          </w:tcPr>
          <w:p>
            <w:pPr>
              <w:widowControl/>
              <w:spacing w:line="300" w:lineRule="exact"/>
              <w:jc w:val="center"/>
              <w:rPr>
                <w:rFonts w:ascii="Times New Roman" w:hAnsi="Times New Roman" w:cs="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01" w:hRule="atLeast"/>
          <w:jc w:val="center"/>
        </w:trPr>
        <w:tc>
          <w:tcPr>
            <w:tcW w:w="290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污染治理所用化学品渗漏遗洒</w:t>
            </w:r>
          </w:p>
        </w:tc>
        <w:tc>
          <w:tcPr>
            <w:tcW w:w="1062"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74"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9"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917" w:type="dxa"/>
            <w:vAlign w:val="center"/>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left"/>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p>
        </w:tc>
        <w:tc>
          <w:tcPr>
            <w:tcW w:w="891"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290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实施过程中的机械噪声</w:t>
            </w:r>
          </w:p>
        </w:tc>
        <w:tc>
          <w:tcPr>
            <w:tcW w:w="1062"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74"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9"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91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891"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01" w:hRule="atLeast"/>
          <w:jc w:val="center"/>
        </w:trPr>
        <w:tc>
          <w:tcPr>
            <w:tcW w:w="290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交通运输噪声</w:t>
            </w:r>
          </w:p>
        </w:tc>
        <w:tc>
          <w:tcPr>
            <w:tcW w:w="1062"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74"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p>
        </w:tc>
        <w:tc>
          <w:tcPr>
            <w:tcW w:w="1069"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917" w:type="dxa"/>
            <w:vAlign w:val="center"/>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891"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01" w:hRule="atLeast"/>
          <w:jc w:val="center"/>
        </w:trPr>
        <w:tc>
          <w:tcPr>
            <w:tcW w:w="290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污油及废油</w:t>
            </w:r>
          </w:p>
        </w:tc>
        <w:tc>
          <w:tcPr>
            <w:tcW w:w="1062"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74"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p>
        </w:tc>
        <w:tc>
          <w:tcPr>
            <w:tcW w:w="1069"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91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891"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01" w:hRule="atLeast"/>
          <w:jc w:val="center"/>
        </w:trPr>
        <w:tc>
          <w:tcPr>
            <w:tcW w:w="290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废弃化学品</w:t>
            </w:r>
          </w:p>
        </w:tc>
        <w:tc>
          <w:tcPr>
            <w:tcW w:w="1062"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74"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9"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917" w:type="dxa"/>
            <w:vAlign w:val="center"/>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891"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01" w:hRule="atLeast"/>
          <w:jc w:val="center"/>
        </w:trPr>
        <w:tc>
          <w:tcPr>
            <w:tcW w:w="290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经过处理后的土壤或废物</w:t>
            </w:r>
          </w:p>
        </w:tc>
        <w:tc>
          <w:tcPr>
            <w:tcW w:w="1062" w:type="dxa"/>
            <w:vAlign w:val="center"/>
          </w:tcPr>
          <w:p>
            <w:pPr>
              <w:widowControl/>
              <w:spacing w:line="300" w:lineRule="exact"/>
              <w:jc w:val="center"/>
              <w:rPr>
                <w:rFonts w:ascii="Times New Roman" w:hAnsi="Times New Roman" w:cs="Times New Roman"/>
                <w:color w:val="auto"/>
                <w:kern w:val="0"/>
                <w:sz w:val="24"/>
                <w:szCs w:val="24"/>
              </w:rPr>
            </w:pPr>
          </w:p>
        </w:tc>
        <w:tc>
          <w:tcPr>
            <w:tcW w:w="1074"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p>
        </w:tc>
        <w:tc>
          <w:tcPr>
            <w:tcW w:w="1069" w:type="dxa"/>
            <w:vAlign w:val="center"/>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917" w:type="dxa"/>
            <w:vAlign w:val="center"/>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p>
        </w:tc>
        <w:tc>
          <w:tcPr>
            <w:tcW w:w="891" w:type="dxa"/>
            <w:vAlign w:val="center"/>
          </w:tcPr>
          <w:p>
            <w:pPr>
              <w:widowControl/>
              <w:spacing w:line="300" w:lineRule="exact"/>
              <w:jc w:val="center"/>
              <w:rPr>
                <w:rFonts w:ascii="Times New Roman" w:hAnsi="Times New Roman" w:cs="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01" w:hRule="atLeast"/>
          <w:jc w:val="center"/>
        </w:trPr>
        <w:tc>
          <w:tcPr>
            <w:tcW w:w="290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污水处理过程中产生的污泥</w:t>
            </w:r>
          </w:p>
        </w:tc>
        <w:tc>
          <w:tcPr>
            <w:tcW w:w="1062" w:type="dxa"/>
            <w:vAlign w:val="center"/>
          </w:tcPr>
          <w:p>
            <w:pPr>
              <w:widowControl/>
              <w:spacing w:line="300" w:lineRule="exact"/>
              <w:jc w:val="center"/>
              <w:rPr>
                <w:rFonts w:ascii="Times New Roman" w:hAnsi="Times New Roman" w:cs="Times New Roman"/>
                <w:color w:val="auto"/>
                <w:kern w:val="0"/>
                <w:sz w:val="24"/>
                <w:szCs w:val="24"/>
              </w:rPr>
            </w:pPr>
          </w:p>
        </w:tc>
        <w:tc>
          <w:tcPr>
            <w:tcW w:w="1074"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p>
        </w:tc>
        <w:tc>
          <w:tcPr>
            <w:tcW w:w="1069"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917" w:type="dxa"/>
            <w:vAlign w:val="center"/>
          </w:tcPr>
          <w:p>
            <w:pPr>
              <w:widowControl/>
              <w:spacing w:line="300" w:lineRule="exact"/>
              <w:jc w:val="center"/>
              <w:rPr>
                <w:rFonts w:ascii="Times New Roman" w:hAnsi="Times New Roman" w:cs="Times New Roman"/>
                <w:color w:val="auto"/>
                <w:kern w:val="0"/>
                <w:sz w:val="24"/>
                <w:szCs w:val="24"/>
              </w:rPr>
            </w:pP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891"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0" w:hRule="atLeast"/>
          <w:jc w:val="center"/>
        </w:trPr>
        <w:tc>
          <w:tcPr>
            <w:tcW w:w="290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报废的一般设施、设备、工具及器具</w:t>
            </w:r>
          </w:p>
        </w:tc>
        <w:tc>
          <w:tcPr>
            <w:tcW w:w="1062"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74"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9"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91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891"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jc w:val="center"/>
        </w:trPr>
        <w:tc>
          <w:tcPr>
            <w:tcW w:w="290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一般生活及餐厨垃圾</w:t>
            </w:r>
          </w:p>
        </w:tc>
        <w:tc>
          <w:tcPr>
            <w:tcW w:w="1062"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74"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9"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917"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1066"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c>
          <w:tcPr>
            <w:tcW w:w="891" w:type="dxa"/>
            <w:vAlign w:val="center"/>
          </w:tcPr>
          <w:p>
            <w:pPr>
              <w:widowControl/>
              <w:spacing w:line="300" w:lineRule="exact"/>
              <w:jc w:val="center"/>
              <w:rPr>
                <w:rFonts w:ascii="Times New Roman" w:hAnsi="Times New Roman" w:cs="Times New Roman"/>
                <w:color w:val="auto"/>
                <w:kern w:val="0"/>
                <w:sz w:val="24"/>
                <w:szCs w:val="24"/>
              </w:rPr>
            </w:pPr>
            <w:r>
              <w:rPr>
                <w:rFonts w:ascii="Times New Roman" w:hAnsi="Times New Roman" w:cs="Times New Roman"/>
                <w:color w:val="auto"/>
                <w:kern w:val="0"/>
                <w:sz w:val="24"/>
                <w:szCs w:val="24"/>
              </w:rPr>
              <w:t>√</w:t>
            </w:r>
          </w:p>
        </w:tc>
      </w:tr>
    </w:tbl>
    <w:p>
      <w:pPr>
        <w:autoSpaceDE w:val="0"/>
        <w:autoSpaceDN w:val="0"/>
        <w:adjustRightInd w:val="0"/>
        <w:spacing w:line="360" w:lineRule="auto"/>
        <w:ind w:firstLine="373" w:firstLineChars="177"/>
        <w:jc w:val="left"/>
        <w:rPr>
          <w:rFonts w:ascii="Times New Roman" w:hAnsi="Times New Roman" w:cs="Times New Roman"/>
          <w:b/>
          <w:color w:val="auto"/>
          <w:sz w:val="22"/>
        </w:rPr>
      </w:pPr>
      <w:r>
        <w:rPr>
          <w:rFonts w:ascii="Times New Roman" w:hAnsi="Times New Roman" w:cs="Times New Roman"/>
          <w:b/>
          <w:color w:val="auto"/>
        </w:rPr>
        <w:t>注：打“</w:t>
      </w:r>
      <w:r>
        <w:rPr>
          <w:rFonts w:ascii="Times New Roman" w:hAnsi="Times New Roman" w:eastAsia="宋体" w:cs="Times New Roman"/>
          <w:b/>
          <w:color w:val="auto"/>
          <w:kern w:val="0"/>
        </w:rPr>
        <w:t>√</w:t>
      </w:r>
      <w:r>
        <w:rPr>
          <w:rFonts w:ascii="Times New Roman" w:hAnsi="Times New Roman" w:cs="Times New Roman"/>
          <w:b/>
          <w:color w:val="auto"/>
        </w:rPr>
        <w:t>”项为采用该土壤污染修复技术时环境监理的要点。</w:t>
      </w:r>
    </w:p>
    <w:p>
      <w:pPr>
        <w:autoSpaceDE w:val="0"/>
        <w:autoSpaceDN w:val="0"/>
        <w:adjustRightInd w:val="0"/>
        <w:spacing w:line="360" w:lineRule="auto"/>
        <w:jc w:val="left"/>
        <w:rPr>
          <w:rFonts w:ascii="Times New Roman" w:hAnsi="Times New Roman" w:cs="Times New Roman"/>
          <w:color w:val="auto"/>
          <w:sz w:val="24"/>
        </w:rPr>
      </w:pPr>
    </w:p>
    <w:p>
      <w:pPr>
        <w:spacing w:line="360" w:lineRule="auto"/>
        <w:rPr>
          <w:rFonts w:ascii="Times New Roman" w:hAnsi="Times New Roman" w:cs="Times New Roman"/>
          <w:color w:val="auto"/>
        </w:rPr>
        <w:sectPr>
          <w:headerReference r:id="rId12" w:type="default"/>
          <w:headerReference r:id="rId13" w:type="even"/>
          <w:pgSz w:w="16839" w:h="11907" w:orient="landscape"/>
          <w:pgMar w:top="1440" w:right="1440" w:bottom="1440" w:left="1440" w:header="1418" w:footer="851" w:gutter="0"/>
          <w:cols w:space="720" w:num="1"/>
          <w:docGrid w:type="lines" w:linePitch="312" w:charSpace="0"/>
        </w:sectPr>
      </w:pPr>
    </w:p>
    <w:bookmarkEnd w:id="119"/>
    <w:p>
      <w:pPr>
        <w:pStyle w:val="138"/>
        <w:numPr>
          <w:ilvl w:val="1"/>
          <w:numId w:val="23"/>
        </w:numPr>
        <w:spacing w:before="156" w:after="156" w:line="360" w:lineRule="auto"/>
        <w:jc w:val="center"/>
        <w:outlineLvl w:val="0"/>
        <w:rPr>
          <w:rFonts w:ascii="Times New Roman"/>
          <w:color w:val="auto"/>
          <w:sz w:val="24"/>
        </w:rPr>
      </w:pPr>
      <w:bookmarkStart w:id="121" w:name="_Toc42442674"/>
      <w:bookmarkEnd w:id="121"/>
      <w:bookmarkStart w:id="122" w:name="_Toc42442727"/>
      <w:bookmarkEnd w:id="122"/>
      <w:bookmarkStart w:id="123" w:name="_Toc42442713"/>
      <w:bookmarkEnd w:id="123"/>
      <w:bookmarkStart w:id="124" w:name="_Toc42442691"/>
      <w:bookmarkEnd w:id="124"/>
      <w:bookmarkStart w:id="125" w:name="_Toc518003715"/>
      <w:bookmarkEnd w:id="125"/>
      <w:bookmarkStart w:id="126" w:name="_Toc42442711"/>
      <w:bookmarkEnd w:id="126"/>
      <w:bookmarkStart w:id="127" w:name="_Toc42442705"/>
      <w:bookmarkEnd w:id="127"/>
      <w:bookmarkStart w:id="128" w:name="_Toc42442700"/>
      <w:bookmarkEnd w:id="128"/>
      <w:bookmarkStart w:id="129" w:name="_Toc42442715"/>
      <w:bookmarkEnd w:id="129"/>
      <w:bookmarkStart w:id="130" w:name="_Toc42442708"/>
      <w:bookmarkEnd w:id="130"/>
      <w:bookmarkStart w:id="131" w:name="_Toc42442678"/>
      <w:bookmarkEnd w:id="131"/>
      <w:bookmarkStart w:id="132" w:name="_Toc518004368"/>
      <w:bookmarkEnd w:id="132"/>
      <w:bookmarkStart w:id="133" w:name="_Toc42442696"/>
      <w:bookmarkEnd w:id="133"/>
      <w:bookmarkStart w:id="134" w:name="_Toc42442676"/>
      <w:bookmarkEnd w:id="134"/>
      <w:bookmarkStart w:id="135" w:name="_Toc42442714"/>
      <w:bookmarkEnd w:id="135"/>
      <w:bookmarkStart w:id="136" w:name="_Toc42442721"/>
      <w:bookmarkEnd w:id="136"/>
      <w:bookmarkStart w:id="137" w:name="_Toc42442726"/>
      <w:bookmarkEnd w:id="137"/>
      <w:bookmarkStart w:id="138" w:name="_Toc42442658"/>
      <w:bookmarkEnd w:id="138"/>
      <w:bookmarkStart w:id="139" w:name="_Toc42442695"/>
      <w:bookmarkEnd w:id="139"/>
      <w:bookmarkStart w:id="140" w:name="_Toc42442652"/>
      <w:bookmarkEnd w:id="140"/>
      <w:bookmarkStart w:id="141" w:name="_Toc42442687"/>
      <w:bookmarkEnd w:id="141"/>
      <w:bookmarkStart w:id="142" w:name="_Toc42442703"/>
      <w:bookmarkEnd w:id="142"/>
      <w:bookmarkStart w:id="143" w:name="_Toc42442697"/>
      <w:bookmarkEnd w:id="143"/>
      <w:bookmarkStart w:id="144" w:name="_Toc42442665"/>
      <w:bookmarkEnd w:id="144"/>
      <w:bookmarkStart w:id="145" w:name="_Toc518003714"/>
      <w:bookmarkEnd w:id="145"/>
      <w:bookmarkStart w:id="146" w:name="_Toc42442720"/>
      <w:bookmarkEnd w:id="146"/>
      <w:bookmarkStart w:id="147" w:name="_Toc42442724"/>
      <w:bookmarkEnd w:id="147"/>
      <w:bookmarkStart w:id="148" w:name="_Toc42442692"/>
      <w:bookmarkEnd w:id="148"/>
      <w:bookmarkStart w:id="149" w:name="_Toc42442675"/>
      <w:bookmarkEnd w:id="149"/>
      <w:bookmarkStart w:id="150" w:name="_Toc518003849"/>
      <w:bookmarkEnd w:id="150"/>
      <w:bookmarkStart w:id="151" w:name="_Toc42442719"/>
      <w:bookmarkEnd w:id="151"/>
      <w:bookmarkStart w:id="152" w:name="_Toc42442707"/>
      <w:bookmarkEnd w:id="152"/>
      <w:bookmarkStart w:id="153" w:name="_Toc518003696"/>
      <w:bookmarkEnd w:id="153"/>
      <w:bookmarkStart w:id="154" w:name="_Toc42442699"/>
      <w:bookmarkEnd w:id="154"/>
      <w:bookmarkStart w:id="155" w:name="_Toc42442655"/>
      <w:bookmarkEnd w:id="155"/>
      <w:bookmarkStart w:id="156" w:name="_Toc518003879"/>
      <w:bookmarkEnd w:id="156"/>
      <w:bookmarkStart w:id="157" w:name="_Toc518003755"/>
      <w:bookmarkEnd w:id="157"/>
      <w:bookmarkStart w:id="158" w:name="_Toc42442659"/>
      <w:bookmarkEnd w:id="158"/>
      <w:bookmarkStart w:id="159" w:name="_Toc42442689"/>
      <w:bookmarkEnd w:id="159"/>
      <w:bookmarkStart w:id="160" w:name="_Toc42442690"/>
      <w:bookmarkEnd w:id="160"/>
      <w:bookmarkStart w:id="161" w:name="_Toc518003890"/>
      <w:bookmarkEnd w:id="161"/>
      <w:bookmarkStart w:id="162" w:name="_Toc518003833"/>
      <w:bookmarkEnd w:id="162"/>
      <w:bookmarkStart w:id="163" w:name="_Toc518003125"/>
      <w:bookmarkEnd w:id="163"/>
      <w:bookmarkStart w:id="164" w:name="_Toc42442653"/>
      <w:bookmarkEnd w:id="164"/>
      <w:bookmarkStart w:id="165" w:name="_Toc518003041"/>
      <w:bookmarkEnd w:id="165"/>
      <w:bookmarkStart w:id="166" w:name="_Toc518003040"/>
      <w:bookmarkEnd w:id="166"/>
      <w:bookmarkStart w:id="167" w:name="_Toc42442660"/>
      <w:bookmarkEnd w:id="167"/>
      <w:bookmarkStart w:id="168" w:name="_Toc42442683"/>
      <w:bookmarkEnd w:id="168"/>
      <w:bookmarkStart w:id="169" w:name="_Toc42442712"/>
      <w:bookmarkEnd w:id="169"/>
      <w:bookmarkStart w:id="170" w:name="_Toc42442677"/>
      <w:bookmarkEnd w:id="170"/>
      <w:bookmarkStart w:id="171" w:name="_Toc42442663"/>
      <w:bookmarkEnd w:id="171"/>
      <w:bookmarkStart w:id="172" w:name="_Toc42442681"/>
      <w:bookmarkEnd w:id="172"/>
      <w:bookmarkStart w:id="173" w:name="_Toc42442668"/>
      <w:bookmarkEnd w:id="173"/>
      <w:bookmarkStart w:id="174" w:name="_Toc42442685"/>
      <w:bookmarkEnd w:id="174"/>
      <w:bookmarkStart w:id="175" w:name="_Toc518003072"/>
      <w:bookmarkEnd w:id="175"/>
      <w:bookmarkStart w:id="176" w:name="_Toc518003159"/>
      <w:bookmarkEnd w:id="176"/>
      <w:bookmarkStart w:id="177" w:name="_Toc518003799"/>
      <w:bookmarkEnd w:id="177"/>
      <w:bookmarkStart w:id="178" w:name="_Toc518003147"/>
      <w:bookmarkEnd w:id="178"/>
      <w:bookmarkStart w:id="179" w:name="_Toc518003081"/>
      <w:bookmarkEnd w:id="179"/>
      <w:bookmarkStart w:id="180" w:name="_Toc518003175"/>
      <w:bookmarkEnd w:id="180"/>
      <w:bookmarkStart w:id="181" w:name="_Toc42442702"/>
      <w:bookmarkEnd w:id="181"/>
      <w:bookmarkStart w:id="182" w:name="_Toc42442680"/>
      <w:bookmarkEnd w:id="182"/>
      <w:bookmarkStart w:id="183" w:name="_Toc42442698"/>
      <w:bookmarkEnd w:id="183"/>
      <w:bookmarkStart w:id="184" w:name="_Toc42442704"/>
      <w:bookmarkEnd w:id="184"/>
      <w:bookmarkStart w:id="185" w:name="_Toc42442670"/>
      <w:bookmarkEnd w:id="185"/>
      <w:bookmarkStart w:id="186" w:name="_Toc518003064"/>
      <w:bookmarkEnd w:id="186"/>
      <w:bookmarkStart w:id="187" w:name="_Toc518004369"/>
      <w:bookmarkEnd w:id="187"/>
      <w:bookmarkStart w:id="188" w:name="_Toc42442723"/>
      <w:bookmarkEnd w:id="188"/>
      <w:bookmarkStart w:id="189" w:name="_Toc518003216"/>
      <w:bookmarkEnd w:id="189"/>
      <w:bookmarkStart w:id="190" w:name="_Toc518004370"/>
      <w:bookmarkEnd w:id="190"/>
      <w:bookmarkStart w:id="191" w:name="_Toc42442666"/>
      <w:bookmarkEnd w:id="191"/>
      <w:bookmarkStart w:id="192" w:name="_Toc518003746"/>
      <w:bookmarkEnd w:id="192"/>
      <w:bookmarkStart w:id="193" w:name="_Toc42442669"/>
      <w:bookmarkEnd w:id="193"/>
      <w:bookmarkStart w:id="194" w:name="_Toc42442701"/>
      <w:bookmarkEnd w:id="194"/>
      <w:bookmarkStart w:id="195" w:name="_Toc518003695"/>
      <w:bookmarkEnd w:id="195"/>
      <w:bookmarkStart w:id="196" w:name="_Toc42442679"/>
      <w:bookmarkEnd w:id="196"/>
      <w:bookmarkStart w:id="197" w:name="_Toc42442709"/>
      <w:bookmarkEnd w:id="197"/>
      <w:bookmarkStart w:id="198" w:name="_Toc42442716"/>
      <w:bookmarkEnd w:id="198"/>
      <w:bookmarkStart w:id="199" w:name="_Toc518003205"/>
      <w:bookmarkEnd w:id="199"/>
      <w:bookmarkStart w:id="200" w:name="_Toc42442672"/>
      <w:bookmarkEnd w:id="200"/>
      <w:bookmarkStart w:id="201" w:name="_Toc42442693"/>
      <w:bookmarkEnd w:id="201"/>
      <w:bookmarkStart w:id="202" w:name="_Toc42442725"/>
      <w:bookmarkEnd w:id="202"/>
      <w:bookmarkStart w:id="203" w:name="_Toc42442706"/>
      <w:bookmarkEnd w:id="203"/>
      <w:bookmarkStart w:id="204" w:name="_Toc518003692"/>
      <w:bookmarkEnd w:id="204"/>
      <w:bookmarkStart w:id="205" w:name="_Toc42442671"/>
      <w:bookmarkEnd w:id="205"/>
      <w:bookmarkStart w:id="206" w:name="_Toc518003099"/>
      <w:bookmarkEnd w:id="206"/>
      <w:bookmarkStart w:id="207" w:name="_Toc42442688"/>
      <w:bookmarkEnd w:id="207"/>
      <w:bookmarkStart w:id="208" w:name="_Toc42442717"/>
      <w:bookmarkEnd w:id="208"/>
      <w:bookmarkStart w:id="209" w:name="_Toc518004366"/>
      <w:bookmarkEnd w:id="209"/>
      <w:bookmarkStart w:id="210" w:name="_Toc42442654"/>
      <w:bookmarkEnd w:id="210"/>
      <w:bookmarkStart w:id="211" w:name="_Toc42442710"/>
      <w:bookmarkEnd w:id="211"/>
      <w:bookmarkStart w:id="212" w:name="_Toc518003821"/>
      <w:bookmarkEnd w:id="212"/>
      <w:bookmarkStart w:id="213" w:name="_Toc518003738"/>
      <w:bookmarkEnd w:id="213"/>
      <w:bookmarkStart w:id="214" w:name="_Toc518003694"/>
      <w:bookmarkEnd w:id="214"/>
      <w:bookmarkStart w:id="215" w:name="_Toc42442682"/>
      <w:bookmarkEnd w:id="215"/>
      <w:bookmarkStart w:id="216" w:name="_Toc42442684"/>
      <w:bookmarkEnd w:id="216"/>
      <w:bookmarkStart w:id="217" w:name="_Toc42442722"/>
      <w:bookmarkEnd w:id="217"/>
      <w:bookmarkStart w:id="218" w:name="_Toc42442664"/>
      <w:bookmarkEnd w:id="218"/>
      <w:bookmarkStart w:id="219" w:name="_Toc42442729"/>
      <w:bookmarkEnd w:id="219"/>
      <w:bookmarkStart w:id="220" w:name="_Toc42442694"/>
      <w:bookmarkEnd w:id="220"/>
      <w:bookmarkStart w:id="221" w:name="_Toc42442657"/>
      <w:bookmarkEnd w:id="221"/>
      <w:bookmarkStart w:id="222" w:name="_Toc42442718"/>
      <w:bookmarkEnd w:id="222"/>
      <w:bookmarkStart w:id="223" w:name="_Toc42442661"/>
      <w:bookmarkEnd w:id="223"/>
      <w:bookmarkStart w:id="224" w:name="_Toc42442667"/>
      <w:bookmarkEnd w:id="224"/>
      <w:bookmarkStart w:id="225" w:name="_Toc42442673"/>
      <w:bookmarkEnd w:id="225"/>
      <w:bookmarkStart w:id="226" w:name="_Toc42442686"/>
      <w:bookmarkEnd w:id="226"/>
      <w:bookmarkStart w:id="227" w:name="_Toc518003773"/>
      <w:bookmarkEnd w:id="227"/>
      <w:bookmarkStart w:id="228" w:name="_Toc42442662"/>
      <w:bookmarkEnd w:id="228"/>
      <w:bookmarkStart w:id="229" w:name="_Toc42442728"/>
      <w:bookmarkEnd w:id="229"/>
      <w:bookmarkStart w:id="230" w:name="_Toc42442656"/>
      <w:bookmarkEnd w:id="230"/>
      <w:bookmarkStart w:id="231" w:name="_Toc496792289"/>
      <w:bookmarkStart w:id="232" w:name="_Toc14886"/>
      <w:bookmarkStart w:id="233" w:name="_Toc512529000"/>
      <w:bookmarkStart w:id="234" w:name="_Toc469911806"/>
      <w:bookmarkStart w:id="235" w:name="_Toc475620819"/>
      <w:bookmarkStart w:id="236" w:name="_Toc476053202"/>
      <w:r>
        <w:rPr>
          <w:rFonts w:ascii="Times New Roman"/>
          <w:color w:val="auto"/>
          <w:sz w:val="24"/>
        </w:rPr>
        <w:t>环境监理总结报告编制大纲</w:t>
      </w:r>
      <w:bookmarkEnd w:id="231"/>
      <w:bookmarkEnd w:id="232"/>
      <w:bookmarkEnd w:id="233"/>
    </w:p>
    <w:p>
      <w:pPr>
        <w:pStyle w:val="59"/>
        <w:ind w:firstLine="420"/>
        <w:rPr>
          <w:color w:val="auto"/>
        </w:rPr>
      </w:pPr>
    </w:p>
    <w:p>
      <w:pPr>
        <w:pStyle w:val="15"/>
        <w:numPr>
          <w:ilvl w:val="0"/>
          <w:numId w:val="45"/>
        </w:numPr>
        <w:adjustRightInd w:val="0"/>
        <w:snapToGrid w:val="0"/>
        <w:spacing w:before="109" w:after="0" w:line="276" w:lineRule="auto"/>
        <w:ind w:left="0" w:firstLine="426"/>
        <w:jc w:val="left"/>
        <w:rPr>
          <w:rFonts w:ascii="Times New Roman" w:hAnsi="Times New Roman" w:eastAsia="黑体" w:cs="Times New Roman"/>
          <w:color w:val="auto"/>
          <w:sz w:val="22"/>
          <w:szCs w:val="21"/>
        </w:rPr>
      </w:pPr>
      <w:r>
        <w:rPr>
          <w:rFonts w:ascii="Times New Roman" w:hAnsi="Times New Roman" w:eastAsia="黑体" w:cs="Times New Roman"/>
          <w:color w:val="auto"/>
          <w:sz w:val="22"/>
        </w:rPr>
        <w:t>项目概况</w:t>
      </w:r>
    </w:p>
    <w:p>
      <w:pPr>
        <w:pStyle w:val="15"/>
        <w:adjustRightInd w:val="0"/>
        <w:snapToGrid w:val="0"/>
        <w:spacing w:line="276" w:lineRule="auto"/>
        <w:ind w:firstLine="426"/>
        <w:rPr>
          <w:rFonts w:ascii="Times New Roman" w:hAnsi="Times New Roman" w:cs="Times New Roman"/>
          <w:color w:val="auto"/>
          <w:sz w:val="22"/>
        </w:rPr>
      </w:pPr>
      <w:r>
        <w:rPr>
          <w:rFonts w:ascii="Times New Roman" w:hAnsi="Times New Roman" w:cs="Times New Roman"/>
          <w:color w:val="auto"/>
          <w:sz w:val="22"/>
        </w:rPr>
        <w:t>1.1项目背景</w:t>
      </w:r>
    </w:p>
    <w:p>
      <w:pPr>
        <w:pStyle w:val="15"/>
        <w:adjustRightInd w:val="0"/>
        <w:snapToGrid w:val="0"/>
        <w:spacing w:line="276" w:lineRule="auto"/>
        <w:ind w:firstLine="426"/>
        <w:rPr>
          <w:rFonts w:ascii="Times New Roman" w:hAnsi="Times New Roman" w:cs="Times New Roman"/>
          <w:color w:val="auto"/>
          <w:sz w:val="22"/>
        </w:rPr>
      </w:pPr>
      <w:r>
        <w:rPr>
          <w:rFonts w:ascii="Times New Roman" w:hAnsi="Times New Roman" w:cs="Times New Roman"/>
          <w:color w:val="auto"/>
          <w:sz w:val="22"/>
        </w:rPr>
        <w:t>介绍土壤污染修复工程背景，土壤污染状况调查和风险评估、修复方案编制的时间节点。</w:t>
      </w:r>
    </w:p>
    <w:p>
      <w:pPr>
        <w:pStyle w:val="15"/>
        <w:adjustRightInd w:val="0"/>
        <w:snapToGrid w:val="0"/>
        <w:spacing w:line="276" w:lineRule="auto"/>
        <w:ind w:firstLine="426"/>
        <w:rPr>
          <w:rFonts w:ascii="Times New Roman" w:hAnsi="Times New Roman" w:cs="Times New Roman"/>
          <w:color w:val="auto"/>
          <w:sz w:val="22"/>
        </w:rPr>
      </w:pPr>
      <w:r>
        <w:rPr>
          <w:rFonts w:ascii="Times New Roman" w:hAnsi="Times New Roman" w:cs="Times New Roman"/>
          <w:color w:val="auto"/>
          <w:sz w:val="22"/>
        </w:rPr>
        <w:t>1.2修复工程概况</w:t>
      </w:r>
    </w:p>
    <w:p>
      <w:pPr>
        <w:pStyle w:val="15"/>
        <w:adjustRightInd w:val="0"/>
        <w:snapToGrid w:val="0"/>
        <w:spacing w:line="276" w:lineRule="auto"/>
        <w:ind w:firstLine="426"/>
        <w:rPr>
          <w:rFonts w:ascii="Times New Roman" w:hAnsi="Times New Roman" w:cs="Times New Roman"/>
          <w:color w:val="auto"/>
          <w:sz w:val="22"/>
        </w:rPr>
      </w:pPr>
      <w:r>
        <w:rPr>
          <w:rFonts w:ascii="Times New Roman" w:hAnsi="Times New Roman" w:cs="Times New Roman"/>
          <w:color w:val="auto"/>
          <w:sz w:val="22"/>
        </w:rPr>
        <w:t>主要介绍土壤污染修复工程的规模、实施方案、实施地点、进度安排、施工单位和环境监理单位等。</w:t>
      </w:r>
    </w:p>
    <w:p>
      <w:pPr>
        <w:pStyle w:val="15"/>
        <w:adjustRightInd w:val="0"/>
        <w:snapToGrid w:val="0"/>
        <w:spacing w:line="276" w:lineRule="auto"/>
        <w:ind w:firstLine="426"/>
        <w:rPr>
          <w:rFonts w:ascii="Times New Roman" w:hAnsi="Times New Roman" w:cs="Times New Roman"/>
          <w:color w:val="auto"/>
          <w:sz w:val="22"/>
        </w:rPr>
      </w:pPr>
      <w:r>
        <w:rPr>
          <w:rFonts w:ascii="Times New Roman" w:hAnsi="Times New Roman" w:cs="Times New Roman"/>
          <w:color w:val="auto"/>
          <w:sz w:val="22"/>
        </w:rPr>
        <w:t>1.3区域概况</w:t>
      </w:r>
    </w:p>
    <w:p>
      <w:pPr>
        <w:pStyle w:val="15"/>
        <w:adjustRightInd w:val="0"/>
        <w:snapToGrid w:val="0"/>
        <w:spacing w:line="276" w:lineRule="auto"/>
        <w:ind w:firstLine="426"/>
        <w:rPr>
          <w:rFonts w:ascii="Times New Roman" w:hAnsi="Times New Roman" w:cs="Times New Roman"/>
          <w:color w:val="auto"/>
          <w:sz w:val="22"/>
        </w:rPr>
      </w:pPr>
      <w:r>
        <w:rPr>
          <w:rFonts w:ascii="Times New Roman" w:hAnsi="Times New Roman" w:cs="Times New Roman"/>
          <w:color w:val="auto"/>
          <w:sz w:val="22"/>
        </w:rPr>
        <w:t>介绍工程土壤污染修复工程区域周边环境敏感点概况。</w:t>
      </w:r>
    </w:p>
    <w:p>
      <w:pPr>
        <w:pStyle w:val="15"/>
        <w:numPr>
          <w:ilvl w:val="0"/>
          <w:numId w:val="45"/>
        </w:numPr>
        <w:adjustRightInd w:val="0"/>
        <w:snapToGrid w:val="0"/>
        <w:spacing w:before="109" w:after="0" w:line="276" w:lineRule="auto"/>
        <w:ind w:left="0" w:firstLine="426"/>
        <w:jc w:val="left"/>
        <w:rPr>
          <w:rFonts w:ascii="Times New Roman" w:hAnsi="Times New Roman" w:eastAsia="黑体" w:cs="Times New Roman"/>
          <w:color w:val="auto"/>
          <w:sz w:val="22"/>
        </w:rPr>
      </w:pPr>
      <w:r>
        <w:rPr>
          <w:rFonts w:ascii="Times New Roman" w:hAnsi="Times New Roman" w:eastAsia="黑体" w:cs="Times New Roman"/>
          <w:color w:val="auto"/>
          <w:sz w:val="22"/>
        </w:rPr>
        <w:t>环境监理工作开展情况</w:t>
      </w:r>
    </w:p>
    <w:p>
      <w:pPr>
        <w:pStyle w:val="15"/>
        <w:adjustRightInd w:val="0"/>
        <w:snapToGrid w:val="0"/>
        <w:spacing w:line="276" w:lineRule="auto"/>
        <w:ind w:firstLine="426"/>
        <w:rPr>
          <w:rFonts w:ascii="Times New Roman" w:hAnsi="Times New Roman" w:cs="Times New Roman"/>
          <w:color w:val="auto"/>
          <w:sz w:val="22"/>
        </w:rPr>
      </w:pPr>
      <w:r>
        <w:rPr>
          <w:rFonts w:ascii="Times New Roman" w:hAnsi="Times New Roman" w:cs="Times New Roman"/>
          <w:color w:val="auto"/>
          <w:sz w:val="22"/>
        </w:rPr>
        <w:t>2.1工作依据</w:t>
      </w:r>
    </w:p>
    <w:p>
      <w:pPr>
        <w:pStyle w:val="15"/>
        <w:adjustRightInd w:val="0"/>
        <w:snapToGrid w:val="0"/>
        <w:spacing w:line="276" w:lineRule="auto"/>
        <w:ind w:firstLine="426"/>
        <w:rPr>
          <w:rFonts w:ascii="Times New Roman" w:hAnsi="Times New Roman" w:cs="Times New Roman"/>
          <w:color w:val="auto"/>
          <w:sz w:val="22"/>
        </w:rPr>
      </w:pPr>
      <w:r>
        <w:rPr>
          <w:rFonts w:ascii="Times New Roman" w:hAnsi="Times New Roman" w:cs="Times New Roman"/>
          <w:color w:val="auto"/>
          <w:sz w:val="22"/>
        </w:rPr>
        <w:t>2.2组织机构</w:t>
      </w:r>
    </w:p>
    <w:p>
      <w:pPr>
        <w:pStyle w:val="15"/>
        <w:adjustRightInd w:val="0"/>
        <w:snapToGrid w:val="0"/>
        <w:spacing w:line="276" w:lineRule="auto"/>
        <w:ind w:firstLine="426"/>
        <w:rPr>
          <w:rFonts w:ascii="Times New Roman" w:hAnsi="Times New Roman" w:cs="Times New Roman"/>
          <w:color w:val="auto"/>
          <w:sz w:val="22"/>
        </w:rPr>
      </w:pPr>
      <w:r>
        <w:rPr>
          <w:rFonts w:ascii="Times New Roman" w:hAnsi="Times New Roman" w:cs="Times New Roman"/>
          <w:color w:val="auto"/>
          <w:sz w:val="22"/>
        </w:rPr>
        <w:t>2.3工作范围和内容</w:t>
      </w:r>
    </w:p>
    <w:p>
      <w:pPr>
        <w:pStyle w:val="15"/>
        <w:adjustRightInd w:val="0"/>
        <w:snapToGrid w:val="0"/>
        <w:spacing w:line="276" w:lineRule="auto"/>
        <w:ind w:firstLine="426"/>
        <w:rPr>
          <w:rFonts w:ascii="Times New Roman" w:hAnsi="Times New Roman" w:cs="Times New Roman"/>
          <w:color w:val="auto"/>
          <w:sz w:val="22"/>
        </w:rPr>
      </w:pPr>
      <w:r>
        <w:rPr>
          <w:rFonts w:ascii="Times New Roman" w:hAnsi="Times New Roman" w:cs="Times New Roman"/>
          <w:color w:val="auto"/>
          <w:sz w:val="22"/>
        </w:rPr>
        <w:t>2.4工作程序</w:t>
      </w:r>
    </w:p>
    <w:p>
      <w:pPr>
        <w:pStyle w:val="15"/>
        <w:adjustRightInd w:val="0"/>
        <w:snapToGrid w:val="0"/>
        <w:spacing w:line="276" w:lineRule="auto"/>
        <w:ind w:firstLine="426"/>
        <w:rPr>
          <w:rFonts w:ascii="Times New Roman" w:hAnsi="Times New Roman" w:cs="Times New Roman"/>
          <w:color w:val="auto"/>
          <w:sz w:val="22"/>
        </w:rPr>
      </w:pPr>
      <w:r>
        <w:rPr>
          <w:rFonts w:ascii="Times New Roman" w:hAnsi="Times New Roman" w:cs="Times New Roman"/>
          <w:color w:val="auto"/>
          <w:sz w:val="22"/>
        </w:rPr>
        <w:t>2.5环境管理体系</w:t>
      </w:r>
    </w:p>
    <w:p>
      <w:pPr>
        <w:pStyle w:val="15"/>
        <w:adjustRightInd w:val="0"/>
        <w:snapToGrid w:val="0"/>
        <w:spacing w:line="276" w:lineRule="auto"/>
        <w:ind w:firstLine="426"/>
        <w:rPr>
          <w:rFonts w:ascii="Times New Roman" w:hAnsi="Times New Roman" w:cs="Times New Roman"/>
          <w:color w:val="auto"/>
          <w:sz w:val="22"/>
        </w:rPr>
      </w:pPr>
      <w:r>
        <w:rPr>
          <w:rFonts w:ascii="Times New Roman" w:hAnsi="Times New Roman" w:cs="Times New Roman"/>
          <w:color w:val="auto"/>
          <w:sz w:val="22"/>
        </w:rPr>
        <w:t>2.6工作方式及方法</w:t>
      </w:r>
    </w:p>
    <w:p>
      <w:pPr>
        <w:pStyle w:val="15"/>
        <w:adjustRightInd w:val="0"/>
        <w:snapToGrid w:val="0"/>
        <w:spacing w:line="276" w:lineRule="auto"/>
        <w:ind w:firstLine="426"/>
        <w:rPr>
          <w:rFonts w:ascii="Times New Roman" w:hAnsi="Times New Roman" w:cs="Times New Roman"/>
          <w:color w:val="auto"/>
          <w:sz w:val="22"/>
        </w:rPr>
      </w:pPr>
      <w:r>
        <w:rPr>
          <w:rFonts w:ascii="Times New Roman" w:hAnsi="Times New Roman" w:cs="Times New Roman"/>
          <w:color w:val="auto"/>
          <w:sz w:val="22"/>
        </w:rPr>
        <w:t>2.7大事记</w:t>
      </w:r>
    </w:p>
    <w:p>
      <w:pPr>
        <w:pStyle w:val="15"/>
        <w:numPr>
          <w:ilvl w:val="0"/>
          <w:numId w:val="45"/>
        </w:numPr>
        <w:adjustRightInd w:val="0"/>
        <w:snapToGrid w:val="0"/>
        <w:spacing w:before="109" w:after="0" w:line="276" w:lineRule="auto"/>
        <w:ind w:left="0" w:firstLine="426"/>
        <w:jc w:val="left"/>
        <w:rPr>
          <w:rFonts w:ascii="Times New Roman" w:hAnsi="Times New Roman" w:eastAsia="黑体" w:cs="Times New Roman"/>
          <w:color w:val="auto"/>
          <w:sz w:val="22"/>
        </w:rPr>
      </w:pPr>
      <w:r>
        <w:rPr>
          <w:rFonts w:ascii="Times New Roman" w:hAnsi="Times New Roman" w:eastAsia="黑体" w:cs="Times New Roman"/>
          <w:color w:val="auto"/>
          <w:sz w:val="22"/>
        </w:rPr>
        <w:t>二次污染防治与环境监测工作情况</w:t>
      </w:r>
    </w:p>
    <w:p>
      <w:pPr>
        <w:pStyle w:val="15"/>
        <w:adjustRightInd w:val="0"/>
        <w:snapToGrid w:val="0"/>
        <w:spacing w:line="276" w:lineRule="auto"/>
        <w:ind w:firstLine="426"/>
        <w:rPr>
          <w:rFonts w:ascii="Times New Roman" w:hAnsi="Times New Roman" w:cs="Times New Roman"/>
          <w:color w:val="auto"/>
          <w:sz w:val="22"/>
        </w:rPr>
      </w:pPr>
      <w:r>
        <w:rPr>
          <w:rFonts w:hint="eastAsia" w:ascii="Times New Roman" w:hAnsi="Times New Roman" w:cs="Times New Roman"/>
          <w:color w:val="auto"/>
          <w:sz w:val="22"/>
        </w:rPr>
        <w:t>3</w:t>
      </w:r>
      <w:r>
        <w:rPr>
          <w:rFonts w:ascii="Times New Roman" w:hAnsi="Times New Roman" w:cs="Times New Roman"/>
          <w:color w:val="auto"/>
          <w:sz w:val="22"/>
        </w:rPr>
        <w:t>.1</w:t>
      </w:r>
      <w:r>
        <w:rPr>
          <w:rFonts w:hint="eastAsia" w:ascii="Times New Roman" w:hAnsi="Times New Roman" w:cs="Times New Roman"/>
          <w:color w:val="auto"/>
          <w:sz w:val="22"/>
        </w:rPr>
        <w:t>二次污染防治措施落实情况</w:t>
      </w:r>
    </w:p>
    <w:p>
      <w:pPr>
        <w:pStyle w:val="15"/>
        <w:adjustRightInd w:val="0"/>
        <w:snapToGrid w:val="0"/>
        <w:spacing w:line="276" w:lineRule="auto"/>
        <w:ind w:firstLine="426"/>
        <w:rPr>
          <w:rFonts w:ascii="Times New Roman" w:hAnsi="Times New Roman" w:cs="Times New Roman"/>
          <w:color w:val="auto"/>
          <w:sz w:val="22"/>
        </w:rPr>
      </w:pPr>
      <w:r>
        <w:rPr>
          <w:rFonts w:ascii="Times New Roman" w:hAnsi="Times New Roman" w:cs="Times New Roman"/>
          <w:color w:val="auto"/>
          <w:sz w:val="22"/>
        </w:rPr>
        <w:t>详细介绍土壤污染修复工程实施过程中污水、废气、粉尘、噪声和固体废物等产生</w:t>
      </w:r>
      <w:r>
        <w:rPr>
          <w:rFonts w:hint="eastAsia" w:ascii="Times New Roman" w:hAnsi="Times New Roman" w:cs="Times New Roman"/>
          <w:color w:val="auto"/>
          <w:sz w:val="22"/>
        </w:rPr>
        <w:t>、</w:t>
      </w:r>
      <w:r>
        <w:rPr>
          <w:rFonts w:ascii="Times New Roman" w:hAnsi="Times New Roman" w:cs="Times New Roman"/>
          <w:color w:val="auto"/>
          <w:sz w:val="22"/>
        </w:rPr>
        <w:t>排放</w:t>
      </w:r>
      <w:r>
        <w:rPr>
          <w:rFonts w:hint="eastAsia" w:ascii="Times New Roman" w:hAnsi="Times New Roman" w:cs="Times New Roman"/>
          <w:color w:val="auto"/>
          <w:sz w:val="22"/>
        </w:rPr>
        <w:t>及防治措施落实</w:t>
      </w:r>
      <w:r>
        <w:rPr>
          <w:rFonts w:ascii="Times New Roman" w:hAnsi="Times New Roman" w:cs="Times New Roman"/>
          <w:color w:val="auto"/>
          <w:sz w:val="22"/>
        </w:rPr>
        <w:t>情况</w:t>
      </w:r>
      <w:r>
        <w:rPr>
          <w:rFonts w:hint="eastAsia" w:ascii="Times New Roman" w:hAnsi="Times New Roman" w:cs="Times New Roman"/>
          <w:color w:val="auto"/>
          <w:sz w:val="22"/>
        </w:rPr>
        <w:t>（包括处理设施建设与运行情况）</w:t>
      </w:r>
      <w:r>
        <w:rPr>
          <w:rFonts w:ascii="Times New Roman" w:hAnsi="Times New Roman" w:cs="Times New Roman"/>
          <w:color w:val="auto"/>
          <w:sz w:val="22"/>
        </w:rPr>
        <w:t>，并介绍出现的环境问题及其处理结果。</w:t>
      </w:r>
    </w:p>
    <w:p>
      <w:pPr>
        <w:pStyle w:val="15"/>
        <w:adjustRightInd w:val="0"/>
        <w:snapToGrid w:val="0"/>
        <w:spacing w:line="276" w:lineRule="auto"/>
        <w:ind w:firstLine="426"/>
        <w:rPr>
          <w:rFonts w:ascii="Times New Roman" w:hAnsi="Times New Roman" w:cs="Times New Roman"/>
          <w:color w:val="auto"/>
          <w:sz w:val="22"/>
        </w:rPr>
      </w:pPr>
      <w:r>
        <w:rPr>
          <w:rFonts w:hint="eastAsia" w:ascii="Times New Roman" w:hAnsi="Times New Roman" w:cs="Times New Roman"/>
          <w:color w:val="auto"/>
          <w:sz w:val="22"/>
        </w:rPr>
        <w:t>3</w:t>
      </w:r>
      <w:r>
        <w:rPr>
          <w:rFonts w:ascii="Times New Roman" w:hAnsi="Times New Roman" w:cs="Times New Roman"/>
          <w:color w:val="auto"/>
          <w:sz w:val="22"/>
        </w:rPr>
        <w:t>.2二次污染的环境监测工作情况</w:t>
      </w:r>
    </w:p>
    <w:p>
      <w:pPr>
        <w:pStyle w:val="15"/>
        <w:adjustRightInd w:val="0"/>
        <w:snapToGrid w:val="0"/>
        <w:spacing w:line="276" w:lineRule="auto"/>
        <w:ind w:firstLine="426"/>
        <w:rPr>
          <w:rFonts w:ascii="Times New Roman" w:hAnsi="Times New Roman" w:cs="Times New Roman"/>
          <w:color w:val="auto"/>
          <w:sz w:val="22"/>
        </w:rPr>
      </w:pPr>
      <w:r>
        <w:rPr>
          <w:rFonts w:hint="eastAsia" w:ascii="Times New Roman" w:hAnsi="Times New Roman" w:cs="Times New Roman"/>
          <w:color w:val="auto"/>
          <w:sz w:val="22"/>
        </w:rPr>
        <w:t>3</w:t>
      </w:r>
      <w:r>
        <w:rPr>
          <w:rFonts w:ascii="Times New Roman" w:hAnsi="Times New Roman" w:cs="Times New Roman"/>
          <w:color w:val="auto"/>
          <w:sz w:val="22"/>
        </w:rPr>
        <w:t>.3其他环境问题及处理情况</w:t>
      </w:r>
    </w:p>
    <w:p>
      <w:pPr>
        <w:pStyle w:val="15"/>
        <w:adjustRightInd w:val="0"/>
        <w:snapToGrid w:val="0"/>
        <w:spacing w:before="109" w:after="0" w:line="276" w:lineRule="auto"/>
        <w:ind w:firstLine="440" w:firstLineChars="200"/>
        <w:jc w:val="left"/>
        <w:rPr>
          <w:rFonts w:ascii="Times New Roman" w:hAnsi="Times New Roman" w:cs="Times New Roman"/>
          <w:color w:val="auto"/>
          <w:sz w:val="22"/>
        </w:rPr>
      </w:pPr>
      <w:r>
        <w:rPr>
          <w:rFonts w:hint="eastAsia" w:ascii="Times New Roman" w:hAnsi="Times New Roman" w:cs="Times New Roman"/>
          <w:color w:val="auto"/>
          <w:sz w:val="22"/>
        </w:rPr>
        <w:t>包括与环境保护相关变更的处理情况、突发环境事件应急处理工作情况等。</w:t>
      </w:r>
    </w:p>
    <w:p>
      <w:pPr>
        <w:pStyle w:val="15"/>
        <w:numPr>
          <w:ilvl w:val="0"/>
          <w:numId w:val="45"/>
        </w:numPr>
        <w:adjustRightInd w:val="0"/>
        <w:snapToGrid w:val="0"/>
        <w:spacing w:before="109" w:after="0" w:line="276" w:lineRule="auto"/>
        <w:ind w:left="0" w:firstLine="426"/>
        <w:jc w:val="left"/>
        <w:rPr>
          <w:rFonts w:ascii="Times New Roman" w:hAnsi="Times New Roman" w:eastAsia="黑体" w:cs="Times New Roman"/>
          <w:color w:val="auto"/>
          <w:sz w:val="22"/>
        </w:rPr>
      </w:pPr>
      <w:r>
        <w:rPr>
          <w:rFonts w:ascii="Times New Roman" w:hAnsi="Times New Roman" w:eastAsia="黑体" w:cs="Times New Roman"/>
          <w:color w:val="auto"/>
          <w:sz w:val="22"/>
        </w:rPr>
        <w:t>其他工作成果</w:t>
      </w:r>
    </w:p>
    <w:p>
      <w:pPr>
        <w:pStyle w:val="15"/>
        <w:numPr>
          <w:ilvl w:val="0"/>
          <w:numId w:val="45"/>
        </w:numPr>
        <w:adjustRightInd w:val="0"/>
        <w:snapToGrid w:val="0"/>
        <w:spacing w:before="109" w:after="0" w:line="276" w:lineRule="auto"/>
        <w:ind w:left="0" w:firstLine="426"/>
        <w:jc w:val="left"/>
        <w:rPr>
          <w:rFonts w:ascii="Times New Roman" w:hAnsi="Times New Roman" w:eastAsia="黑体" w:cs="Times New Roman"/>
          <w:color w:val="auto"/>
          <w:sz w:val="22"/>
        </w:rPr>
      </w:pPr>
      <w:r>
        <w:rPr>
          <w:rFonts w:ascii="Times New Roman" w:hAnsi="Times New Roman" w:eastAsia="黑体" w:cs="Times New Roman"/>
          <w:color w:val="auto"/>
          <w:sz w:val="22"/>
        </w:rPr>
        <w:t>结论及建议</w:t>
      </w:r>
    </w:p>
    <w:p>
      <w:pPr>
        <w:pStyle w:val="15"/>
        <w:numPr>
          <w:ilvl w:val="0"/>
          <w:numId w:val="45"/>
        </w:numPr>
        <w:adjustRightInd w:val="0"/>
        <w:snapToGrid w:val="0"/>
        <w:spacing w:before="109" w:after="0" w:line="276" w:lineRule="auto"/>
        <w:ind w:left="0" w:firstLine="426"/>
        <w:jc w:val="left"/>
        <w:rPr>
          <w:rFonts w:ascii="Times New Roman" w:hAnsi="Times New Roman" w:eastAsia="黑体" w:cs="Times New Roman"/>
          <w:color w:val="auto"/>
          <w:sz w:val="22"/>
        </w:rPr>
      </w:pPr>
      <w:r>
        <w:rPr>
          <w:rFonts w:ascii="Times New Roman" w:hAnsi="Times New Roman" w:eastAsia="黑体" w:cs="Times New Roman"/>
          <w:color w:val="auto"/>
          <w:sz w:val="22"/>
        </w:rPr>
        <w:t>资料附件</w:t>
      </w:r>
    </w:p>
    <w:bookmarkEnd w:id="234"/>
    <w:bookmarkEnd w:id="235"/>
    <w:bookmarkEnd w:id="236"/>
    <w:p>
      <w:pPr>
        <w:pStyle w:val="18"/>
        <w:autoSpaceDE w:val="0"/>
        <w:autoSpaceDN w:val="0"/>
        <w:adjustRightInd w:val="0"/>
        <w:spacing w:line="360" w:lineRule="auto"/>
        <w:ind w:firstLine="440" w:firstLineChars="200"/>
        <w:jc w:val="left"/>
        <w:rPr>
          <w:rFonts w:ascii="Times New Roman" w:hAnsi="Times New Roman" w:cs="Times New Roman"/>
          <w:color w:val="auto"/>
          <w:sz w:val="22"/>
        </w:rPr>
      </w:pPr>
      <w:r>
        <w:rPr>
          <w:rFonts w:hint="eastAsia" w:ascii="Times New Roman" w:hAnsi="Times New Roman" w:cs="Times New Roman"/>
          <w:color w:val="auto"/>
          <w:sz w:val="22"/>
        </w:rPr>
        <w:t>主要包括过程性文件（工作影像、相关记录、文件与资料），环境监测报告，环境保护专项验收结果等内容。</w:t>
      </w:r>
    </w:p>
    <w:sectPr>
      <w:headerReference r:id="rId14" w:type="default"/>
      <w:pgSz w:w="11906" w:h="16838"/>
      <w:pgMar w:top="1440" w:right="1440" w:bottom="144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 ...">
    <w:altName w:val="仿宋"/>
    <w:panose1 w:val="00000000000000000000"/>
    <w:charset w:val="86"/>
    <w:family w:val="swiss"/>
    <w:pitch w:val="default"/>
    <w:sig w:usb0="00000000" w:usb1="00000000" w:usb2="00000010" w:usb3="00000000" w:csb0="00040000" w:csb1="00000000"/>
  </w:font>
  <w:font w:name="等线">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DotumChe">
    <w:panose1 w:val="020B0609000101010101"/>
    <w:charset w:val="81"/>
    <w:family w:val="modern"/>
    <w:pitch w:val="default"/>
    <w:sig w:usb0="B00002AF" w:usb1="69D77CFB" w:usb2="00000030" w:usb3="00000000" w:csb0="4008009F" w:csb1="DFD7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Malgun Gothic">
    <w:panose1 w:val="020B0503020000020004"/>
    <w:charset w:val="81"/>
    <w:family w:val="auto"/>
    <w:pitch w:val="default"/>
    <w:sig w:usb0="900002AF" w:usb1="01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3"/>
      <w:jc w:val="center"/>
      <w:rPr>
        <w:rStyle w:val="31"/>
        <w:rFonts w:asciiTheme="minorEastAsia" w:hAnsiTheme="minorEastAsia" w:eastAsiaTheme="minorEastAsia" w:cstheme="minorEastAsia"/>
        <w:sz w:val="28"/>
        <w:szCs w:val="28"/>
      </w:rPr>
    </w:pPr>
    <w:r>
      <w:rPr>
        <w:rFonts w:eastAsiaTheme="minorEastAsia"/>
        <w:sz w:val="21"/>
        <w:szCs w:val="21"/>
      </w:rPr>
      <w:fldChar w:fldCharType="begin"/>
    </w:r>
    <w:r>
      <w:rPr>
        <w:rStyle w:val="31"/>
        <w:rFonts w:eastAsiaTheme="minorEastAsia"/>
        <w:sz w:val="21"/>
        <w:szCs w:val="21"/>
      </w:rPr>
      <w:instrText xml:space="preserve">PAGE  </w:instrText>
    </w:r>
    <w:r>
      <w:rPr>
        <w:rFonts w:eastAsiaTheme="minorEastAsia"/>
        <w:sz w:val="21"/>
        <w:szCs w:val="21"/>
      </w:rPr>
      <w:fldChar w:fldCharType="separate"/>
    </w:r>
    <w:r>
      <w:rPr>
        <w:rStyle w:val="31"/>
        <w:rFonts w:eastAsiaTheme="minorEastAsia"/>
        <w:sz w:val="21"/>
        <w:szCs w:val="21"/>
      </w:rPr>
      <w:t>II</w:t>
    </w:r>
    <w:r>
      <w:rPr>
        <w:rFonts w:eastAsiaTheme="minorEastAsia"/>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3"/>
      <w:jc w:val="center"/>
      <w:rPr>
        <w:rStyle w:val="31"/>
        <w:rFonts w:asciiTheme="minorEastAsia" w:hAnsiTheme="minorEastAsia" w:eastAsiaTheme="minorEastAsia" w:cstheme="minorEastAsia"/>
        <w:sz w:val="28"/>
        <w:szCs w:val="28"/>
      </w:rPr>
    </w:pPr>
    <w:r>
      <w:rPr>
        <w:rFonts w:eastAsiaTheme="minorEastAsia"/>
        <w:sz w:val="21"/>
        <w:szCs w:val="21"/>
      </w:rPr>
      <w:fldChar w:fldCharType="begin"/>
    </w:r>
    <w:r>
      <w:rPr>
        <w:rStyle w:val="31"/>
        <w:rFonts w:eastAsiaTheme="minorEastAsia"/>
        <w:sz w:val="21"/>
        <w:szCs w:val="21"/>
      </w:rPr>
      <w:instrText xml:space="preserve">PAGE  </w:instrText>
    </w:r>
    <w:r>
      <w:rPr>
        <w:rFonts w:eastAsiaTheme="minorEastAsia"/>
        <w:sz w:val="21"/>
        <w:szCs w:val="21"/>
      </w:rPr>
      <w:fldChar w:fldCharType="separate"/>
    </w:r>
    <w:r>
      <w:rPr>
        <w:rStyle w:val="31"/>
        <w:rFonts w:eastAsiaTheme="minorEastAsia"/>
        <w:sz w:val="21"/>
        <w:szCs w:val="21"/>
      </w:rPr>
      <w:t>1</w:t>
    </w:r>
    <w:r>
      <w:rPr>
        <w:rFonts w:eastAsiaTheme="minorEastAsia"/>
        <w:sz w:val="21"/>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3"/>
      <w:jc w:val="center"/>
      <w:rPr>
        <w:rStyle w:val="31"/>
        <w:rFonts w:eastAsiaTheme="minorEastAsia"/>
        <w:kern w:val="2"/>
        <w:sz w:val="21"/>
        <w:szCs w:val="21"/>
      </w:rPr>
    </w:pPr>
    <w:r>
      <w:rPr>
        <w:rFonts w:eastAsiaTheme="minorEastAsia"/>
        <w:sz w:val="21"/>
        <w:szCs w:val="21"/>
      </w:rPr>
      <w:fldChar w:fldCharType="begin"/>
    </w:r>
    <w:r>
      <w:rPr>
        <w:rStyle w:val="31"/>
        <w:rFonts w:eastAsiaTheme="minorEastAsia"/>
        <w:sz w:val="21"/>
        <w:szCs w:val="21"/>
      </w:rPr>
      <w:instrText xml:space="preserve">PAGE  </w:instrText>
    </w:r>
    <w:r>
      <w:rPr>
        <w:rFonts w:eastAsiaTheme="minorEastAsia"/>
        <w:sz w:val="21"/>
        <w:szCs w:val="21"/>
      </w:rPr>
      <w:fldChar w:fldCharType="separate"/>
    </w:r>
    <w:r>
      <w:rPr>
        <w:rStyle w:val="31"/>
        <w:rFonts w:eastAsiaTheme="minorEastAsia"/>
        <w:sz w:val="21"/>
        <w:szCs w:val="21"/>
      </w:rPr>
      <w:t>13</w:t>
    </w:r>
    <w:r>
      <w:rPr>
        <w:rFonts w:eastAsiaTheme="minorEastAsia"/>
        <w:sz w:val="21"/>
        <w:szCs w:val="21"/>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3"/>
      <w:jc w:val="center"/>
      <w:rPr>
        <w:rStyle w:val="31"/>
        <w:rFonts w:asciiTheme="minorEastAsia" w:hAnsiTheme="minorEastAsia" w:eastAsiaTheme="minorEastAsia" w:cstheme="minorEastAsia"/>
        <w:sz w:val="21"/>
        <w:szCs w:val="21"/>
      </w:rPr>
    </w:pPr>
    <w:r>
      <w:rPr>
        <w:rFonts w:eastAsiaTheme="minorEastAsia"/>
        <w:sz w:val="21"/>
        <w:szCs w:val="21"/>
      </w:rPr>
      <w:fldChar w:fldCharType="begin"/>
    </w:r>
    <w:r>
      <w:rPr>
        <w:rStyle w:val="31"/>
        <w:rFonts w:eastAsiaTheme="minorEastAsia"/>
        <w:sz w:val="21"/>
        <w:szCs w:val="21"/>
      </w:rPr>
      <w:instrText xml:space="preserve">PAGE  </w:instrText>
    </w:r>
    <w:r>
      <w:rPr>
        <w:rFonts w:eastAsiaTheme="minorEastAsia"/>
        <w:sz w:val="21"/>
        <w:szCs w:val="21"/>
      </w:rPr>
      <w:fldChar w:fldCharType="separate"/>
    </w:r>
    <w:r>
      <w:rPr>
        <w:rStyle w:val="31"/>
        <w:rFonts w:eastAsiaTheme="minorEastAsia"/>
        <w:sz w:val="21"/>
        <w:szCs w:val="21"/>
      </w:rPr>
      <w:t>15</w:t>
    </w:r>
    <w:r>
      <w:rPr>
        <w:rFonts w:eastAsiaTheme="minorEastAsia"/>
        <w:sz w:val="21"/>
        <w:szCs w:val="21"/>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3"/>
      <w:jc w:val="center"/>
      <w:rPr>
        <w:rStyle w:val="31"/>
        <w:rFonts w:eastAsiaTheme="minorEastAsia"/>
        <w:sz w:val="21"/>
        <w:szCs w:val="21"/>
      </w:rPr>
    </w:pPr>
    <w:r>
      <w:rPr>
        <w:rFonts w:eastAsiaTheme="minorEastAsia"/>
        <w:sz w:val="21"/>
        <w:szCs w:val="21"/>
      </w:rPr>
      <w:fldChar w:fldCharType="begin"/>
    </w:r>
    <w:r>
      <w:rPr>
        <w:rStyle w:val="31"/>
        <w:rFonts w:eastAsiaTheme="minorEastAsia"/>
        <w:sz w:val="21"/>
        <w:szCs w:val="21"/>
      </w:rPr>
      <w:instrText xml:space="preserve">PAGE  </w:instrText>
    </w:r>
    <w:r>
      <w:rPr>
        <w:rFonts w:eastAsiaTheme="minorEastAsia"/>
        <w:sz w:val="21"/>
        <w:szCs w:val="21"/>
      </w:rPr>
      <w:fldChar w:fldCharType="separate"/>
    </w:r>
    <w:r>
      <w:rPr>
        <w:rStyle w:val="31"/>
        <w:rFonts w:eastAsiaTheme="minorEastAsia"/>
        <w:sz w:val="21"/>
        <w:szCs w:val="21"/>
      </w:rPr>
      <w:t>17</w:t>
    </w:r>
    <w:r>
      <w:rPr>
        <w:rFonts w:eastAsiaTheme="minorEastAsia"/>
        <w:sz w:val="21"/>
        <w:szCs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rPr>
        <w:rFonts w:ascii="Times New Roman" w:hAnsi="Times New Roman" w:cs="Times New Roman" w:eastAsiaTheme="minorEastAsia"/>
        <w:sz w:val="21"/>
        <w:szCs w:val="21"/>
      </w:rPr>
    </w:pPr>
    <w:r>
      <w:rPr>
        <w:rFonts w:ascii="Times New Roman" w:hAnsi="Times New Roman" w:cs="Times New Roman" w:eastAsiaTheme="minorEastAsia"/>
        <w:sz w:val="21"/>
        <w:szCs w:val="21"/>
      </w:rPr>
      <w:fldChar w:fldCharType="begin"/>
    </w:r>
    <w:r>
      <w:rPr>
        <w:rFonts w:ascii="Times New Roman" w:hAnsi="Times New Roman" w:cs="Times New Roman" w:eastAsiaTheme="minorEastAsia"/>
        <w:sz w:val="21"/>
        <w:szCs w:val="21"/>
      </w:rPr>
      <w:instrText xml:space="preserve">PAGE   \* MERGEFORMAT</w:instrText>
    </w:r>
    <w:r>
      <w:rPr>
        <w:rFonts w:ascii="Times New Roman" w:hAnsi="Times New Roman" w:cs="Times New Roman" w:eastAsiaTheme="minorEastAsia"/>
        <w:sz w:val="21"/>
        <w:szCs w:val="21"/>
      </w:rPr>
      <w:fldChar w:fldCharType="separate"/>
    </w:r>
    <w:r>
      <w:rPr>
        <w:rFonts w:ascii="Times New Roman" w:hAnsi="Times New Roman" w:cs="Times New Roman" w:eastAsiaTheme="minorEastAsia"/>
        <w:sz w:val="21"/>
        <w:szCs w:val="21"/>
        <w:lang w:val="zh-CN"/>
      </w:rPr>
      <w:t>31</w:t>
    </w:r>
    <w:r>
      <w:rPr>
        <w:rFonts w:ascii="Times New Roman" w:hAnsi="Times New Roman" w:cs="Times New Roman" w:eastAsiaTheme="minorEastAsia"/>
        <w:sz w:val="21"/>
        <w:szCs w:val="21"/>
      </w:rPr>
      <w:fldChar w:fldCharType="end"/>
    </w:r>
  </w:p>
  <w:p>
    <w:pPr>
      <w:rPr>
        <w:rStyle w:val="3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numPr>
        <w:ilvl w:val="0"/>
        <w:numId w:val="0"/>
      </w:numPr>
      <w:pBdr>
        <w:bottom w:val="none" w:color="auto" w:sz="0" w:space="0"/>
      </w:pBdr>
      <w:ind w:left="340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3"/>
      <w:spacing w:after="0"/>
      <w:jc w:val="both"/>
      <w:rPr>
        <w:rFonts w:ascii="黑体" w:eastAsia="黑体"/>
      </w:rPr>
    </w:pPr>
    <w:r>
      <w:rPr>
        <w:rFonts w:ascii="黑体" w:eastAsia="黑体"/>
      </w:rPr>
      <w:t>DB44/T</w:t>
    </w:r>
    <w:r>
      <w:rPr>
        <w:rFonts w:hint="eastAsia" w:ascii="黑体" w:eastAsia="黑体"/>
      </w:rPr>
      <w:t xml:space="preserve"> ××××.1—2018</w:t>
    </w:r>
  </w:p>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812DC19"/>
    <w:multiLevelType w:val="multilevel"/>
    <w:tmpl w:val="8812DC19"/>
    <w:lvl w:ilvl="0" w:tentative="0">
      <w:start w:val="1"/>
      <w:numFmt w:val="decimal"/>
      <w:lvlText w:val="（%1）"/>
      <w:lvlJc w:val="left"/>
      <w:pPr>
        <w:ind w:left="586" w:hanging="420"/>
      </w:pPr>
      <w:rPr>
        <w:rFonts w:hint="eastAsia"/>
      </w:rPr>
    </w:lvl>
    <w:lvl w:ilvl="1" w:tentative="0">
      <w:start w:val="1"/>
      <w:numFmt w:val="lowerLetter"/>
      <w:lvlText w:val="%2)"/>
      <w:lvlJc w:val="left"/>
      <w:pPr>
        <w:ind w:left="1006" w:hanging="420"/>
      </w:pPr>
    </w:lvl>
    <w:lvl w:ilvl="2" w:tentative="0">
      <w:start w:val="1"/>
      <w:numFmt w:val="lowerRoman"/>
      <w:lvlText w:val="%3."/>
      <w:lvlJc w:val="right"/>
      <w:pPr>
        <w:ind w:left="1426" w:hanging="420"/>
      </w:pPr>
    </w:lvl>
    <w:lvl w:ilvl="3" w:tentative="0">
      <w:start w:val="1"/>
      <w:numFmt w:val="decimal"/>
      <w:lvlText w:val="%4."/>
      <w:lvlJc w:val="left"/>
      <w:pPr>
        <w:ind w:left="1846" w:hanging="420"/>
      </w:pPr>
    </w:lvl>
    <w:lvl w:ilvl="4" w:tentative="0">
      <w:start w:val="1"/>
      <w:numFmt w:val="lowerLetter"/>
      <w:lvlText w:val="%5)"/>
      <w:lvlJc w:val="left"/>
      <w:pPr>
        <w:ind w:left="2266" w:hanging="420"/>
      </w:pPr>
    </w:lvl>
    <w:lvl w:ilvl="5" w:tentative="0">
      <w:start w:val="1"/>
      <w:numFmt w:val="lowerRoman"/>
      <w:lvlText w:val="%6."/>
      <w:lvlJc w:val="right"/>
      <w:pPr>
        <w:ind w:left="2686" w:hanging="420"/>
      </w:pPr>
    </w:lvl>
    <w:lvl w:ilvl="6" w:tentative="0">
      <w:start w:val="1"/>
      <w:numFmt w:val="decimal"/>
      <w:lvlText w:val="%7."/>
      <w:lvlJc w:val="left"/>
      <w:pPr>
        <w:ind w:left="3106" w:hanging="420"/>
      </w:pPr>
    </w:lvl>
    <w:lvl w:ilvl="7" w:tentative="0">
      <w:start w:val="1"/>
      <w:numFmt w:val="lowerLetter"/>
      <w:lvlText w:val="%8)"/>
      <w:lvlJc w:val="left"/>
      <w:pPr>
        <w:ind w:left="3526" w:hanging="420"/>
      </w:pPr>
    </w:lvl>
    <w:lvl w:ilvl="8" w:tentative="0">
      <w:start w:val="1"/>
      <w:numFmt w:val="lowerRoman"/>
      <w:lvlText w:val="%9."/>
      <w:lvlJc w:val="right"/>
      <w:pPr>
        <w:ind w:left="3946" w:hanging="420"/>
      </w:pPr>
    </w:lvl>
  </w:abstractNum>
  <w:abstractNum w:abstractNumId="1">
    <w:nsid w:val="C7363D9E"/>
    <w:multiLevelType w:val="multilevel"/>
    <w:tmpl w:val="C7363D9E"/>
    <w:lvl w:ilvl="0" w:tentative="0">
      <w:start w:val="1"/>
      <w:numFmt w:val="decimal"/>
      <w:suff w:val="nothing"/>
      <w:lvlText w:val="（%1）　"/>
      <w:lvlJc w:val="left"/>
      <w:pPr>
        <w:ind w:left="420" w:hanging="420"/>
      </w:pPr>
      <w:rPr>
        <w:rFonts w:hint="eastAsia"/>
        <w:b w:val="0"/>
        <w:i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DF777454"/>
    <w:multiLevelType w:val="multilevel"/>
    <w:tmpl w:val="DF777454"/>
    <w:lvl w:ilvl="0" w:tentative="0">
      <w:start w:val="1"/>
      <w:numFmt w:val="decimal"/>
      <w:suff w:val="nothing"/>
      <w:lvlText w:val="（%1）　"/>
      <w:lvlJc w:val="left"/>
      <w:pPr>
        <w:ind w:left="420" w:hanging="420"/>
      </w:pPr>
      <w:rPr>
        <w:rFonts w:hint="eastAsia" w:ascii="黑体" w:hAnsi="黑体" w:eastAsia="黑体"/>
        <w:b w:val="0"/>
        <w:i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F67417D6"/>
    <w:multiLevelType w:val="singleLevel"/>
    <w:tmpl w:val="F67417D6"/>
    <w:lvl w:ilvl="0" w:tentative="0">
      <w:start w:val="1"/>
      <w:numFmt w:val="decimal"/>
      <w:lvlText w:val="(%1)"/>
      <w:lvlJc w:val="left"/>
      <w:pPr>
        <w:ind w:left="425" w:hanging="425"/>
      </w:pPr>
      <w:rPr>
        <w:rFonts w:hint="default"/>
      </w:rPr>
    </w:lvl>
  </w:abstractNum>
  <w:abstractNum w:abstractNumId="4">
    <w:nsid w:val="02483830"/>
    <w:multiLevelType w:val="multilevel"/>
    <w:tmpl w:val="02483830"/>
    <w:lvl w:ilvl="0" w:tentative="0">
      <w:start w:val="1"/>
      <w:numFmt w:val="decimal"/>
      <w:lvlText w:val="（%1）"/>
      <w:lvlJc w:val="left"/>
      <w:pPr>
        <w:ind w:left="586" w:hanging="420"/>
      </w:pPr>
      <w:rPr>
        <w:rFonts w:hint="eastAsia"/>
        <w:b w:val="0"/>
        <w:bCs w:val="0"/>
      </w:rPr>
    </w:lvl>
    <w:lvl w:ilvl="1" w:tentative="0">
      <w:start w:val="1"/>
      <w:numFmt w:val="lowerLetter"/>
      <w:lvlText w:val="%2)"/>
      <w:lvlJc w:val="left"/>
      <w:pPr>
        <w:ind w:left="1006" w:hanging="420"/>
      </w:pPr>
    </w:lvl>
    <w:lvl w:ilvl="2" w:tentative="0">
      <w:start w:val="1"/>
      <w:numFmt w:val="lowerRoman"/>
      <w:lvlText w:val="%3."/>
      <w:lvlJc w:val="right"/>
      <w:pPr>
        <w:ind w:left="1426" w:hanging="420"/>
      </w:pPr>
    </w:lvl>
    <w:lvl w:ilvl="3" w:tentative="0">
      <w:start w:val="1"/>
      <w:numFmt w:val="decimal"/>
      <w:lvlText w:val="%4."/>
      <w:lvlJc w:val="left"/>
      <w:pPr>
        <w:ind w:left="1846" w:hanging="420"/>
      </w:pPr>
    </w:lvl>
    <w:lvl w:ilvl="4" w:tentative="0">
      <w:start w:val="1"/>
      <w:numFmt w:val="lowerLetter"/>
      <w:lvlText w:val="%5)"/>
      <w:lvlJc w:val="left"/>
      <w:pPr>
        <w:ind w:left="2266" w:hanging="420"/>
      </w:pPr>
    </w:lvl>
    <w:lvl w:ilvl="5" w:tentative="0">
      <w:start w:val="1"/>
      <w:numFmt w:val="lowerRoman"/>
      <w:lvlText w:val="%6."/>
      <w:lvlJc w:val="right"/>
      <w:pPr>
        <w:ind w:left="2686" w:hanging="420"/>
      </w:pPr>
    </w:lvl>
    <w:lvl w:ilvl="6" w:tentative="0">
      <w:start w:val="1"/>
      <w:numFmt w:val="decimal"/>
      <w:lvlText w:val="%7."/>
      <w:lvlJc w:val="left"/>
      <w:pPr>
        <w:ind w:left="3106" w:hanging="420"/>
      </w:pPr>
    </w:lvl>
    <w:lvl w:ilvl="7" w:tentative="0">
      <w:start w:val="1"/>
      <w:numFmt w:val="lowerLetter"/>
      <w:lvlText w:val="%8)"/>
      <w:lvlJc w:val="left"/>
      <w:pPr>
        <w:ind w:left="3526" w:hanging="420"/>
      </w:pPr>
    </w:lvl>
    <w:lvl w:ilvl="8" w:tentative="0">
      <w:start w:val="1"/>
      <w:numFmt w:val="lowerRoman"/>
      <w:lvlText w:val="%9."/>
      <w:lvlJc w:val="right"/>
      <w:pPr>
        <w:ind w:left="3946" w:hanging="420"/>
      </w:pPr>
    </w:lvl>
  </w:abstractNum>
  <w:abstractNum w:abstractNumId="5">
    <w:nsid w:val="056B0D84"/>
    <w:multiLevelType w:val="multilevel"/>
    <w:tmpl w:val="056B0D84"/>
    <w:lvl w:ilvl="0" w:tentative="0">
      <w:start w:val="1"/>
      <w:numFmt w:val="decimal"/>
      <w:lvlText w:val="（%1）"/>
      <w:lvlJc w:val="left"/>
      <w:pPr>
        <w:ind w:left="586" w:hanging="420"/>
      </w:pPr>
      <w:rPr>
        <w:rFonts w:hint="eastAsia"/>
      </w:rPr>
    </w:lvl>
    <w:lvl w:ilvl="1" w:tentative="0">
      <w:start w:val="1"/>
      <w:numFmt w:val="lowerLetter"/>
      <w:lvlText w:val="%2)"/>
      <w:lvlJc w:val="left"/>
      <w:pPr>
        <w:ind w:left="1006" w:hanging="420"/>
      </w:pPr>
    </w:lvl>
    <w:lvl w:ilvl="2" w:tentative="0">
      <w:start w:val="1"/>
      <w:numFmt w:val="lowerRoman"/>
      <w:lvlText w:val="%3."/>
      <w:lvlJc w:val="right"/>
      <w:pPr>
        <w:ind w:left="1426" w:hanging="420"/>
      </w:pPr>
    </w:lvl>
    <w:lvl w:ilvl="3" w:tentative="0">
      <w:start w:val="1"/>
      <w:numFmt w:val="decimal"/>
      <w:lvlText w:val="%4."/>
      <w:lvlJc w:val="left"/>
      <w:pPr>
        <w:ind w:left="1846" w:hanging="420"/>
      </w:pPr>
    </w:lvl>
    <w:lvl w:ilvl="4" w:tentative="0">
      <w:start w:val="1"/>
      <w:numFmt w:val="lowerLetter"/>
      <w:lvlText w:val="%5)"/>
      <w:lvlJc w:val="left"/>
      <w:pPr>
        <w:ind w:left="2266" w:hanging="420"/>
      </w:pPr>
    </w:lvl>
    <w:lvl w:ilvl="5" w:tentative="0">
      <w:start w:val="1"/>
      <w:numFmt w:val="lowerRoman"/>
      <w:lvlText w:val="%6."/>
      <w:lvlJc w:val="right"/>
      <w:pPr>
        <w:ind w:left="2686" w:hanging="420"/>
      </w:pPr>
    </w:lvl>
    <w:lvl w:ilvl="6" w:tentative="0">
      <w:start w:val="1"/>
      <w:numFmt w:val="decimal"/>
      <w:lvlText w:val="%7."/>
      <w:lvlJc w:val="left"/>
      <w:pPr>
        <w:ind w:left="3106" w:hanging="420"/>
      </w:pPr>
    </w:lvl>
    <w:lvl w:ilvl="7" w:tentative="0">
      <w:start w:val="1"/>
      <w:numFmt w:val="lowerLetter"/>
      <w:lvlText w:val="%8)"/>
      <w:lvlJc w:val="left"/>
      <w:pPr>
        <w:ind w:left="3526" w:hanging="420"/>
      </w:pPr>
    </w:lvl>
    <w:lvl w:ilvl="8" w:tentative="0">
      <w:start w:val="1"/>
      <w:numFmt w:val="lowerRoman"/>
      <w:lvlText w:val="%9."/>
      <w:lvlJc w:val="right"/>
      <w:pPr>
        <w:ind w:left="3946" w:hanging="420"/>
      </w:pPr>
    </w:lvl>
  </w:abstractNum>
  <w:abstractNum w:abstractNumId="6">
    <w:nsid w:val="09757144"/>
    <w:multiLevelType w:val="multilevel"/>
    <w:tmpl w:val="09757144"/>
    <w:lvl w:ilvl="0" w:tentative="0">
      <w:start w:val="1"/>
      <w:numFmt w:val="decimal"/>
      <w:suff w:val="nothing"/>
      <w:lvlText w:val="（%1）　"/>
      <w:lvlJc w:val="left"/>
      <w:pPr>
        <w:ind w:left="420" w:hanging="420"/>
      </w:pPr>
      <w:rPr>
        <w:rFonts w:hint="eastAsia" w:ascii="黑体" w:hAnsi="黑体" w:eastAsia="黑体"/>
        <w:b w:val="0"/>
        <w:i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B2253F4"/>
    <w:multiLevelType w:val="multilevel"/>
    <w:tmpl w:val="0B2253F4"/>
    <w:lvl w:ilvl="0" w:tentative="0">
      <w:start w:val="1"/>
      <w:numFmt w:val="decimal"/>
      <w:lvlText w:val="（%1）"/>
      <w:lvlJc w:val="left"/>
      <w:pPr>
        <w:ind w:left="586" w:hanging="420"/>
      </w:pPr>
      <w:rPr>
        <w:rFonts w:hint="eastAsia"/>
      </w:rPr>
    </w:lvl>
    <w:lvl w:ilvl="1" w:tentative="0">
      <w:start w:val="1"/>
      <w:numFmt w:val="lowerLetter"/>
      <w:lvlText w:val="%2)"/>
      <w:lvlJc w:val="left"/>
      <w:pPr>
        <w:ind w:left="1006" w:hanging="420"/>
      </w:pPr>
    </w:lvl>
    <w:lvl w:ilvl="2" w:tentative="0">
      <w:start w:val="1"/>
      <w:numFmt w:val="lowerRoman"/>
      <w:lvlText w:val="%3."/>
      <w:lvlJc w:val="right"/>
      <w:pPr>
        <w:ind w:left="1426" w:hanging="420"/>
      </w:pPr>
    </w:lvl>
    <w:lvl w:ilvl="3" w:tentative="0">
      <w:start w:val="1"/>
      <w:numFmt w:val="decimal"/>
      <w:lvlText w:val="%4."/>
      <w:lvlJc w:val="left"/>
      <w:pPr>
        <w:ind w:left="1846" w:hanging="420"/>
      </w:pPr>
    </w:lvl>
    <w:lvl w:ilvl="4" w:tentative="0">
      <w:start w:val="1"/>
      <w:numFmt w:val="lowerLetter"/>
      <w:lvlText w:val="%5)"/>
      <w:lvlJc w:val="left"/>
      <w:pPr>
        <w:ind w:left="2266" w:hanging="420"/>
      </w:pPr>
    </w:lvl>
    <w:lvl w:ilvl="5" w:tentative="0">
      <w:start w:val="1"/>
      <w:numFmt w:val="lowerRoman"/>
      <w:lvlText w:val="%6."/>
      <w:lvlJc w:val="right"/>
      <w:pPr>
        <w:ind w:left="2686" w:hanging="420"/>
      </w:pPr>
    </w:lvl>
    <w:lvl w:ilvl="6" w:tentative="0">
      <w:start w:val="1"/>
      <w:numFmt w:val="decimal"/>
      <w:lvlText w:val="%7."/>
      <w:lvlJc w:val="left"/>
      <w:pPr>
        <w:ind w:left="3106" w:hanging="420"/>
      </w:pPr>
    </w:lvl>
    <w:lvl w:ilvl="7" w:tentative="0">
      <w:start w:val="1"/>
      <w:numFmt w:val="lowerLetter"/>
      <w:lvlText w:val="%8)"/>
      <w:lvlJc w:val="left"/>
      <w:pPr>
        <w:ind w:left="3526" w:hanging="420"/>
      </w:pPr>
    </w:lvl>
    <w:lvl w:ilvl="8" w:tentative="0">
      <w:start w:val="1"/>
      <w:numFmt w:val="lowerRoman"/>
      <w:lvlText w:val="%9."/>
      <w:lvlJc w:val="right"/>
      <w:pPr>
        <w:ind w:left="3946" w:hanging="420"/>
      </w:pPr>
    </w:lvl>
  </w:abstractNum>
  <w:abstractNum w:abstractNumId="8">
    <w:nsid w:val="0B282E9C"/>
    <w:multiLevelType w:val="multilevel"/>
    <w:tmpl w:val="0B282E9C"/>
    <w:lvl w:ilvl="0" w:tentative="0">
      <w:start w:val="1"/>
      <w:numFmt w:val="decimal"/>
      <w:lvlText w:val="（%1）"/>
      <w:lvlJc w:val="left"/>
      <w:pPr>
        <w:ind w:left="586" w:hanging="420"/>
      </w:pPr>
      <w:rPr>
        <w:rFonts w:hint="eastAsia"/>
        <w:b w:val="0"/>
        <w:bCs w:val="0"/>
      </w:rPr>
    </w:lvl>
    <w:lvl w:ilvl="1" w:tentative="0">
      <w:start w:val="1"/>
      <w:numFmt w:val="lowerLetter"/>
      <w:lvlText w:val="%2)"/>
      <w:lvlJc w:val="left"/>
      <w:pPr>
        <w:ind w:left="1006" w:hanging="420"/>
      </w:pPr>
    </w:lvl>
    <w:lvl w:ilvl="2" w:tentative="0">
      <w:start w:val="1"/>
      <w:numFmt w:val="lowerRoman"/>
      <w:lvlText w:val="%3."/>
      <w:lvlJc w:val="right"/>
      <w:pPr>
        <w:ind w:left="1426" w:hanging="420"/>
      </w:pPr>
    </w:lvl>
    <w:lvl w:ilvl="3" w:tentative="0">
      <w:start w:val="1"/>
      <w:numFmt w:val="decimal"/>
      <w:lvlText w:val="%4."/>
      <w:lvlJc w:val="left"/>
      <w:pPr>
        <w:ind w:left="1846" w:hanging="420"/>
      </w:pPr>
    </w:lvl>
    <w:lvl w:ilvl="4" w:tentative="0">
      <w:start w:val="1"/>
      <w:numFmt w:val="lowerLetter"/>
      <w:lvlText w:val="%5)"/>
      <w:lvlJc w:val="left"/>
      <w:pPr>
        <w:ind w:left="2266" w:hanging="420"/>
      </w:pPr>
    </w:lvl>
    <w:lvl w:ilvl="5" w:tentative="0">
      <w:start w:val="1"/>
      <w:numFmt w:val="lowerRoman"/>
      <w:lvlText w:val="%6."/>
      <w:lvlJc w:val="right"/>
      <w:pPr>
        <w:ind w:left="2686" w:hanging="420"/>
      </w:pPr>
    </w:lvl>
    <w:lvl w:ilvl="6" w:tentative="0">
      <w:start w:val="1"/>
      <w:numFmt w:val="decimal"/>
      <w:lvlText w:val="%7."/>
      <w:lvlJc w:val="left"/>
      <w:pPr>
        <w:ind w:left="3106" w:hanging="420"/>
      </w:pPr>
    </w:lvl>
    <w:lvl w:ilvl="7" w:tentative="0">
      <w:start w:val="1"/>
      <w:numFmt w:val="lowerLetter"/>
      <w:lvlText w:val="%8)"/>
      <w:lvlJc w:val="left"/>
      <w:pPr>
        <w:ind w:left="3526" w:hanging="420"/>
      </w:pPr>
    </w:lvl>
    <w:lvl w:ilvl="8" w:tentative="0">
      <w:start w:val="1"/>
      <w:numFmt w:val="lowerRoman"/>
      <w:lvlText w:val="%9."/>
      <w:lvlJc w:val="right"/>
      <w:pPr>
        <w:ind w:left="3946" w:hanging="420"/>
      </w:pPr>
    </w:lvl>
  </w:abstractNum>
  <w:abstractNum w:abstractNumId="9">
    <w:nsid w:val="0F3C1EFF"/>
    <w:multiLevelType w:val="multilevel"/>
    <w:tmpl w:val="0F3C1EFF"/>
    <w:lvl w:ilvl="0" w:tentative="0">
      <w:start w:val="2"/>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附%2　"/>
      <w:lvlJc w:val="left"/>
      <w:pPr>
        <w:tabs>
          <w:tab w:val="left" w:pos="0"/>
        </w:tabs>
        <w:ind w:left="0" w:firstLine="0"/>
      </w:pPr>
      <w:rPr>
        <w:rFonts w:hint="default" w:ascii="宋体" w:hAnsi="宋体" w:eastAsia="黑体" w:cs="宋体"/>
        <w:b w:val="0"/>
        <w:i w:val="0"/>
        <w:sz w:val="24"/>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0">
    <w:nsid w:val="14DC6D24"/>
    <w:multiLevelType w:val="multilevel"/>
    <w:tmpl w:val="14DC6D24"/>
    <w:lvl w:ilvl="0" w:tentative="0">
      <w:start w:val="1"/>
      <w:numFmt w:val="decimal"/>
      <w:suff w:val="nothing"/>
      <w:lvlText w:val="（%1）　"/>
      <w:lvlJc w:val="left"/>
      <w:pPr>
        <w:ind w:left="420" w:hanging="420"/>
      </w:pPr>
      <w:rPr>
        <w:rFonts w:hint="eastAsia" w:ascii="黑体" w:hAnsi="黑体" w:eastAsia="黑体"/>
        <w:b w:val="0"/>
        <w:i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19A90793"/>
    <w:multiLevelType w:val="multilevel"/>
    <w:tmpl w:val="19A90793"/>
    <w:lvl w:ilvl="0" w:tentative="0">
      <w:start w:val="1"/>
      <w:numFmt w:val="decimal"/>
      <w:lvlText w:val="%1)"/>
      <w:lvlJc w:val="left"/>
      <w:pPr>
        <w:ind w:left="0" w:firstLine="0"/>
      </w:pPr>
      <w:rPr>
        <w:rFonts w:hint="eastAsia"/>
        <w:b w:val="0"/>
        <w:i w:val="0"/>
        <w:sz w:val="21"/>
      </w:rPr>
    </w:lvl>
    <w:lvl w:ilvl="1" w:tentative="0">
      <w:start w:val="4"/>
      <w:numFmt w:val="decimal"/>
      <w:lvlText w:val="%2"/>
      <w:lvlJc w:val="left"/>
      <w:pPr>
        <w:ind w:left="0" w:firstLine="0"/>
      </w:pPr>
      <w:rPr>
        <w:rFonts w:hint="eastAsia"/>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2">
    <w:nsid w:val="1F360E3E"/>
    <w:multiLevelType w:val="multilevel"/>
    <w:tmpl w:val="1F360E3E"/>
    <w:lvl w:ilvl="0" w:tentative="0">
      <w:start w:val="1"/>
      <w:numFmt w:val="decimal"/>
      <w:lvlText w:val="（%1）"/>
      <w:lvlJc w:val="left"/>
      <w:pPr>
        <w:ind w:left="586" w:hanging="420"/>
      </w:pPr>
      <w:rPr>
        <w:rFonts w:hint="eastAsia"/>
      </w:rPr>
    </w:lvl>
    <w:lvl w:ilvl="1" w:tentative="0">
      <w:start w:val="1"/>
      <w:numFmt w:val="lowerLetter"/>
      <w:lvlText w:val="%2)"/>
      <w:lvlJc w:val="left"/>
      <w:pPr>
        <w:ind w:left="1006" w:hanging="420"/>
      </w:pPr>
    </w:lvl>
    <w:lvl w:ilvl="2" w:tentative="0">
      <w:start w:val="1"/>
      <w:numFmt w:val="lowerRoman"/>
      <w:lvlText w:val="%3."/>
      <w:lvlJc w:val="right"/>
      <w:pPr>
        <w:ind w:left="1426" w:hanging="420"/>
      </w:pPr>
    </w:lvl>
    <w:lvl w:ilvl="3" w:tentative="0">
      <w:start w:val="1"/>
      <w:numFmt w:val="decimal"/>
      <w:lvlText w:val="%4."/>
      <w:lvlJc w:val="left"/>
      <w:pPr>
        <w:ind w:left="1846" w:hanging="420"/>
      </w:pPr>
    </w:lvl>
    <w:lvl w:ilvl="4" w:tentative="0">
      <w:start w:val="1"/>
      <w:numFmt w:val="lowerLetter"/>
      <w:lvlText w:val="%5)"/>
      <w:lvlJc w:val="left"/>
      <w:pPr>
        <w:ind w:left="2266" w:hanging="420"/>
      </w:pPr>
    </w:lvl>
    <w:lvl w:ilvl="5" w:tentative="0">
      <w:start w:val="1"/>
      <w:numFmt w:val="lowerRoman"/>
      <w:lvlText w:val="%6."/>
      <w:lvlJc w:val="right"/>
      <w:pPr>
        <w:ind w:left="2686" w:hanging="420"/>
      </w:pPr>
    </w:lvl>
    <w:lvl w:ilvl="6" w:tentative="0">
      <w:start w:val="1"/>
      <w:numFmt w:val="decimal"/>
      <w:lvlText w:val="%7."/>
      <w:lvlJc w:val="left"/>
      <w:pPr>
        <w:ind w:left="3106" w:hanging="420"/>
      </w:pPr>
    </w:lvl>
    <w:lvl w:ilvl="7" w:tentative="0">
      <w:start w:val="1"/>
      <w:numFmt w:val="lowerLetter"/>
      <w:lvlText w:val="%8)"/>
      <w:lvlJc w:val="left"/>
      <w:pPr>
        <w:ind w:left="3526" w:hanging="420"/>
      </w:pPr>
    </w:lvl>
    <w:lvl w:ilvl="8" w:tentative="0">
      <w:start w:val="1"/>
      <w:numFmt w:val="lowerRoman"/>
      <w:lvlText w:val="%9."/>
      <w:lvlJc w:val="right"/>
      <w:pPr>
        <w:ind w:left="3946" w:hanging="420"/>
      </w:pPr>
    </w:lvl>
  </w:abstractNum>
  <w:abstractNum w:abstractNumId="13">
    <w:nsid w:val="200B70AB"/>
    <w:multiLevelType w:val="multilevel"/>
    <w:tmpl w:val="200B70AB"/>
    <w:lvl w:ilvl="0" w:tentative="0">
      <w:start w:val="1"/>
      <w:numFmt w:val="decimal"/>
      <w:suff w:val="nothing"/>
      <w:lvlText w:val="（%1）　"/>
      <w:lvlJc w:val="left"/>
      <w:pPr>
        <w:ind w:left="420" w:hanging="420"/>
      </w:pPr>
      <w:rPr>
        <w:rFonts w:hint="eastAsia" w:ascii="黑体" w:hAnsi="黑体" w:eastAsia="黑体"/>
        <w:b w:val="0"/>
        <w:i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2AC509BD"/>
    <w:multiLevelType w:val="multilevel"/>
    <w:tmpl w:val="2AC509BD"/>
    <w:lvl w:ilvl="0" w:tentative="0">
      <w:start w:val="1"/>
      <w:numFmt w:val="decimal"/>
      <w:lvlText w:val="（%1）"/>
      <w:lvlJc w:val="left"/>
      <w:pPr>
        <w:ind w:left="586" w:hanging="420"/>
      </w:pPr>
      <w:rPr>
        <w:rFonts w:hint="eastAsia"/>
        <w:b w:val="0"/>
        <w:bCs w:val="0"/>
      </w:rPr>
    </w:lvl>
    <w:lvl w:ilvl="1" w:tentative="0">
      <w:start w:val="1"/>
      <w:numFmt w:val="lowerLetter"/>
      <w:lvlText w:val="%2)"/>
      <w:lvlJc w:val="left"/>
      <w:pPr>
        <w:ind w:left="1006" w:hanging="420"/>
      </w:pPr>
    </w:lvl>
    <w:lvl w:ilvl="2" w:tentative="0">
      <w:start w:val="1"/>
      <w:numFmt w:val="lowerRoman"/>
      <w:lvlText w:val="%3."/>
      <w:lvlJc w:val="right"/>
      <w:pPr>
        <w:ind w:left="1426" w:hanging="420"/>
      </w:pPr>
    </w:lvl>
    <w:lvl w:ilvl="3" w:tentative="0">
      <w:start w:val="1"/>
      <w:numFmt w:val="decimal"/>
      <w:lvlText w:val="%4."/>
      <w:lvlJc w:val="left"/>
      <w:pPr>
        <w:ind w:left="1846" w:hanging="420"/>
      </w:pPr>
    </w:lvl>
    <w:lvl w:ilvl="4" w:tentative="0">
      <w:start w:val="1"/>
      <w:numFmt w:val="lowerLetter"/>
      <w:lvlText w:val="%5)"/>
      <w:lvlJc w:val="left"/>
      <w:pPr>
        <w:ind w:left="2266" w:hanging="420"/>
      </w:pPr>
    </w:lvl>
    <w:lvl w:ilvl="5" w:tentative="0">
      <w:start w:val="1"/>
      <w:numFmt w:val="lowerRoman"/>
      <w:lvlText w:val="%6."/>
      <w:lvlJc w:val="right"/>
      <w:pPr>
        <w:ind w:left="2686" w:hanging="420"/>
      </w:pPr>
    </w:lvl>
    <w:lvl w:ilvl="6" w:tentative="0">
      <w:start w:val="1"/>
      <w:numFmt w:val="decimal"/>
      <w:lvlText w:val="%7."/>
      <w:lvlJc w:val="left"/>
      <w:pPr>
        <w:ind w:left="3106" w:hanging="420"/>
      </w:pPr>
    </w:lvl>
    <w:lvl w:ilvl="7" w:tentative="0">
      <w:start w:val="1"/>
      <w:numFmt w:val="lowerLetter"/>
      <w:lvlText w:val="%8)"/>
      <w:lvlJc w:val="left"/>
      <w:pPr>
        <w:ind w:left="3526" w:hanging="420"/>
      </w:pPr>
    </w:lvl>
    <w:lvl w:ilvl="8" w:tentative="0">
      <w:start w:val="1"/>
      <w:numFmt w:val="lowerRoman"/>
      <w:lvlText w:val="%9."/>
      <w:lvlJc w:val="right"/>
      <w:pPr>
        <w:ind w:left="3946" w:hanging="420"/>
      </w:pPr>
    </w:lvl>
  </w:abstractNum>
  <w:abstractNum w:abstractNumId="15">
    <w:nsid w:val="2FBF7833"/>
    <w:multiLevelType w:val="multilevel"/>
    <w:tmpl w:val="2FBF7833"/>
    <w:lvl w:ilvl="0" w:tentative="0">
      <w:start w:val="1"/>
      <w:numFmt w:val="decimal"/>
      <w:lvlText w:val="（%1）"/>
      <w:lvlJc w:val="left"/>
      <w:pPr>
        <w:ind w:left="586" w:hanging="420"/>
      </w:pPr>
      <w:rPr>
        <w:rFonts w:hint="eastAsia"/>
      </w:rPr>
    </w:lvl>
    <w:lvl w:ilvl="1" w:tentative="0">
      <w:start w:val="1"/>
      <w:numFmt w:val="lowerLetter"/>
      <w:lvlText w:val="%2)"/>
      <w:lvlJc w:val="left"/>
      <w:pPr>
        <w:ind w:left="1006" w:hanging="420"/>
      </w:pPr>
    </w:lvl>
    <w:lvl w:ilvl="2" w:tentative="0">
      <w:start w:val="1"/>
      <w:numFmt w:val="lowerRoman"/>
      <w:lvlText w:val="%3."/>
      <w:lvlJc w:val="right"/>
      <w:pPr>
        <w:ind w:left="1426" w:hanging="420"/>
      </w:pPr>
    </w:lvl>
    <w:lvl w:ilvl="3" w:tentative="0">
      <w:start w:val="1"/>
      <w:numFmt w:val="decimal"/>
      <w:lvlText w:val="%4."/>
      <w:lvlJc w:val="left"/>
      <w:pPr>
        <w:ind w:left="1846" w:hanging="420"/>
      </w:pPr>
    </w:lvl>
    <w:lvl w:ilvl="4" w:tentative="0">
      <w:start w:val="1"/>
      <w:numFmt w:val="lowerLetter"/>
      <w:lvlText w:val="%5)"/>
      <w:lvlJc w:val="left"/>
      <w:pPr>
        <w:ind w:left="2266" w:hanging="420"/>
      </w:pPr>
    </w:lvl>
    <w:lvl w:ilvl="5" w:tentative="0">
      <w:start w:val="1"/>
      <w:numFmt w:val="lowerRoman"/>
      <w:lvlText w:val="%6."/>
      <w:lvlJc w:val="right"/>
      <w:pPr>
        <w:ind w:left="2686" w:hanging="420"/>
      </w:pPr>
    </w:lvl>
    <w:lvl w:ilvl="6" w:tentative="0">
      <w:start w:val="1"/>
      <w:numFmt w:val="decimal"/>
      <w:lvlText w:val="%7."/>
      <w:lvlJc w:val="left"/>
      <w:pPr>
        <w:ind w:left="3106" w:hanging="420"/>
      </w:pPr>
    </w:lvl>
    <w:lvl w:ilvl="7" w:tentative="0">
      <w:start w:val="1"/>
      <w:numFmt w:val="lowerLetter"/>
      <w:lvlText w:val="%8)"/>
      <w:lvlJc w:val="left"/>
      <w:pPr>
        <w:ind w:left="3526" w:hanging="420"/>
      </w:pPr>
    </w:lvl>
    <w:lvl w:ilvl="8" w:tentative="0">
      <w:start w:val="1"/>
      <w:numFmt w:val="lowerRoman"/>
      <w:lvlText w:val="%9."/>
      <w:lvlJc w:val="right"/>
      <w:pPr>
        <w:ind w:left="3946" w:hanging="420"/>
      </w:pPr>
    </w:lvl>
  </w:abstractNum>
  <w:abstractNum w:abstractNumId="16">
    <w:nsid w:val="333D7932"/>
    <w:multiLevelType w:val="multilevel"/>
    <w:tmpl w:val="333D7932"/>
    <w:lvl w:ilvl="0" w:tentative="0">
      <w:start w:val="1"/>
      <w:numFmt w:val="decimal"/>
      <w:lvlText w:val="（%1）"/>
      <w:lvlJc w:val="left"/>
      <w:pPr>
        <w:ind w:left="586" w:hanging="420"/>
      </w:pPr>
      <w:rPr>
        <w:rFonts w:hint="eastAsia"/>
        <w:b w:val="0"/>
        <w:bCs w:val="0"/>
      </w:rPr>
    </w:lvl>
    <w:lvl w:ilvl="1" w:tentative="0">
      <w:start w:val="1"/>
      <w:numFmt w:val="lowerLetter"/>
      <w:lvlText w:val="%2)"/>
      <w:lvlJc w:val="left"/>
      <w:pPr>
        <w:ind w:left="1006" w:hanging="420"/>
      </w:pPr>
    </w:lvl>
    <w:lvl w:ilvl="2" w:tentative="0">
      <w:start w:val="1"/>
      <w:numFmt w:val="lowerRoman"/>
      <w:lvlText w:val="%3."/>
      <w:lvlJc w:val="right"/>
      <w:pPr>
        <w:ind w:left="1426" w:hanging="420"/>
      </w:pPr>
    </w:lvl>
    <w:lvl w:ilvl="3" w:tentative="0">
      <w:start w:val="1"/>
      <w:numFmt w:val="decimal"/>
      <w:lvlText w:val="%4."/>
      <w:lvlJc w:val="left"/>
      <w:pPr>
        <w:ind w:left="1846" w:hanging="420"/>
      </w:pPr>
    </w:lvl>
    <w:lvl w:ilvl="4" w:tentative="0">
      <w:start w:val="1"/>
      <w:numFmt w:val="lowerLetter"/>
      <w:lvlText w:val="%5)"/>
      <w:lvlJc w:val="left"/>
      <w:pPr>
        <w:ind w:left="2266" w:hanging="420"/>
      </w:pPr>
    </w:lvl>
    <w:lvl w:ilvl="5" w:tentative="0">
      <w:start w:val="1"/>
      <w:numFmt w:val="lowerRoman"/>
      <w:lvlText w:val="%6."/>
      <w:lvlJc w:val="right"/>
      <w:pPr>
        <w:ind w:left="2686" w:hanging="420"/>
      </w:pPr>
    </w:lvl>
    <w:lvl w:ilvl="6" w:tentative="0">
      <w:start w:val="1"/>
      <w:numFmt w:val="decimal"/>
      <w:lvlText w:val="%7."/>
      <w:lvlJc w:val="left"/>
      <w:pPr>
        <w:ind w:left="3106" w:hanging="420"/>
      </w:pPr>
    </w:lvl>
    <w:lvl w:ilvl="7" w:tentative="0">
      <w:start w:val="1"/>
      <w:numFmt w:val="lowerLetter"/>
      <w:lvlText w:val="%8)"/>
      <w:lvlJc w:val="left"/>
      <w:pPr>
        <w:ind w:left="3526" w:hanging="420"/>
      </w:pPr>
    </w:lvl>
    <w:lvl w:ilvl="8" w:tentative="0">
      <w:start w:val="1"/>
      <w:numFmt w:val="lowerRoman"/>
      <w:lvlText w:val="%9."/>
      <w:lvlJc w:val="right"/>
      <w:pPr>
        <w:ind w:left="3946" w:hanging="420"/>
      </w:pPr>
    </w:lvl>
  </w:abstractNum>
  <w:abstractNum w:abstractNumId="17">
    <w:nsid w:val="337F4DE4"/>
    <w:multiLevelType w:val="multilevel"/>
    <w:tmpl w:val="337F4DE4"/>
    <w:lvl w:ilvl="0" w:tentative="0">
      <w:start w:val="1"/>
      <w:numFmt w:val="decimal"/>
      <w:lvlText w:val="（%1）"/>
      <w:lvlJc w:val="left"/>
      <w:pPr>
        <w:ind w:left="586" w:hanging="420"/>
      </w:pPr>
      <w:rPr>
        <w:rFonts w:hint="eastAsia"/>
        <w:lang w:val="en-US"/>
      </w:rPr>
    </w:lvl>
    <w:lvl w:ilvl="1" w:tentative="0">
      <w:start w:val="1"/>
      <w:numFmt w:val="lowerLetter"/>
      <w:lvlText w:val="%2)"/>
      <w:lvlJc w:val="left"/>
      <w:pPr>
        <w:ind w:left="1006" w:hanging="420"/>
      </w:pPr>
    </w:lvl>
    <w:lvl w:ilvl="2" w:tentative="0">
      <w:start w:val="1"/>
      <w:numFmt w:val="lowerRoman"/>
      <w:lvlText w:val="%3."/>
      <w:lvlJc w:val="right"/>
      <w:pPr>
        <w:ind w:left="1426" w:hanging="420"/>
      </w:pPr>
    </w:lvl>
    <w:lvl w:ilvl="3" w:tentative="0">
      <w:start w:val="1"/>
      <w:numFmt w:val="decimal"/>
      <w:lvlText w:val="%4."/>
      <w:lvlJc w:val="left"/>
      <w:pPr>
        <w:ind w:left="1846" w:hanging="420"/>
      </w:pPr>
    </w:lvl>
    <w:lvl w:ilvl="4" w:tentative="0">
      <w:start w:val="1"/>
      <w:numFmt w:val="lowerLetter"/>
      <w:lvlText w:val="%5)"/>
      <w:lvlJc w:val="left"/>
      <w:pPr>
        <w:ind w:left="2266" w:hanging="420"/>
      </w:pPr>
    </w:lvl>
    <w:lvl w:ilvl="5" w:tentative="0">
      <w:start w:val="1"/>
      <w:numFmt w:val="lowerRoman"/>
      <w:lvlText w:val="%6."/>
      <w:lvlJc w:val="right"/>
      <w:pPr>
        <w:ind w:left="2686" w:hanging="420"/>
      </w:pPr>
    </w:lvl>
    <w:lvl w:ilvl="6" w:tentative="0">
      <w:start w:val="1"/>
      <w:numFmt w:val="decimal"/>
      <w:lvlText w:val="%7."/>
      <w:lvlJc w:val="left"/>
      <w:pPr>
        <w:ind w:left="3106" w:hanging="420"/>
      </w:pPr>
    </w:lvl>
    <w:lvl w:ilvl="7" w:tentative="0">
      <w:start w:val="1"/>
      <w:numFmt w:val="lowerLetter"/>
      <w:lvlText w:val="%8)"/>
      <w:lvlJc w:val="left"/>
      <w:pPr>
        <w:ind w:left="3526" w:hanging="420"/>
      </w:pPr>
    </w:lvl>
    <w:lvl w:ilvl="8" w:tentative="0">
      <w:start w:val="1"/>
      <w:numFmt w:val="lowerRoman"/>
      <w:lvlText w:val="%9."/>
      <w:lvlJc w:val="right"/>
      <w:pPr>
        <w:ind w:left="3946" w:hanging="420"/>
      </w:pPr>
    </w:lvl>
  </w:abstractNum>
  <w:abstractNum w:abstractNumId="18">
    <w:nsid w:val="341D7B5D"/>
    <w:multiLevelType w:val="multilevel"/>
    <w:tmpl w:val="341D7B5D"/>
    <w:lvl w:ilvl="0" w:tentative="0">
      <w:start w:val="1"/>
      <w:numFmt w:val="decimal"/>
      <w:lvlText w:val="%1)"/>
      <w:lvlJc w:val="left"/>
      <w:pPr>
        <w:ind w:left="0" w:firstLine="0"/>
      </w:pPr>
      <w:rPr>
        <w:rFonts w:hint="eastAsia"/>
        <w:b w:val="0"/>
        <w:i w:val="0"/>
        <w:sz w:val="21"/>
      </w:rPr>
    </w:lvl>
    <w:lvl w:ilvl="1" w:tentative="0">
      <w:start w:val="4"/>
      <w:numFmt w:val="decimal"/>
      <w:lvlText w:val="%2"/>
      <w:lvlJc w:val="left"/>
      <w:pPr>
        <w:ind w:left="0" w:firstLine="0"/>
      </w:pPr>
      <w:rPr>
        <w:rFonts w:hint="eastAsia"/>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9">
    <w:nsid w:val="34415886"/>
    <w:multiLevelType w:val="multilevel"/>
    <w:tmpl w:val="34415886"/>
    <w:lvl w:ilvl="0" w:tentative="0">
      <w:start w:val="1"/>
      <w:numFmt w:val="none"/>
      <w:pStyle w:val="84"/>
      <w:suff w:val="nothing"/>
      <w:lvlText w:val="%1"/>
      <w:lvlJc w:val="left"/>
      <w:pPr>
        <w:ind w:left="0" w:firstLine="0"/>
      </w:pPr>
      <w:rPr>
        <w:rFonts w:hint="default" w:ascii="Times New Roman" w:hAnsi="Times New Roman"/>
        <w:b/>
        <w:i w:val="0"/>
        <w:sz w:val="21"/>
      </w:rPr>
    </w:lvl>
    <w:lvl w:ilvl="1" w:tentative="0">
      <w:start w:val="1"/>
      <w:numFmt w:val="upperLetter"/>
      <w:lvlText w:val="%2."/>
      <w:lvlJc w:val="left"/>
      <w:pPr>
        <w:ind w:left="0" w:firstLine="0"/>
      </w:pPr>
      <w:rPr>
        <w:rFonts w:hint="eastAsia"/>
        <w:b w:val="0"/>
        <w:i w:val="0"/>
        <w:sz w:val="21"/>
      </w:rPr>
    </w:lvl>
    <w:lvl w:ilvl="2" w:tentative="0">
      <w:start w:val="1"/>
      <w:numFmt w:val="decimal"/>
      <w:pStyle w:val="58"/>
      <w:suff w:val="nothing"/>
      <w:lvlText w:val="%1%2.%3　"/>
      <w:lvlJc w:val="left"/>
      <w:pPr>
        <w:ind w:left="0" w:firstLine="0"/>
      </w:pPr>
      <w:rPr>
        <w:rFonts w:hint="eastAsia" w:ascii="黑体" w:hAnsi="Times New Roman" w:eastAsia="黑体"/>
        <w:b w:val="0"/>
        <w:i w:val="0"/>
        <w:sz w:val="21"/>
      </w:rPr>
    </w:lvl>
    <w:lvl w:ilvl="3" w:tentative="0">
      <w:start w:val="1"/>
      <w:numFmt w:val="decimal"/>
      <w:pStyle w:val="57"/>
      <w:suff w:val="nothing"/>
      <w:lvlText w:val="%1%2.%3.%4　"/>
      <w:lvlJc w:val="left"/>
      <w:pPr>
        <w:ind w:left="0" w:firstLine="0"/>
      </w:pPr>
      <w:rPr>
        <w:rFonts w:hint="eastAsia" w:ascii="黑体" w:hAnsi="Times New Roman" w:eastAsia="黑体"/>
        <w:b w:val="0"/>
        <w:i w:val="0"/>
        <w:sz w:val="21"/>
      </w:rPr>
    </w:lvl>
    <w:lvl w:ilvl="4" w:tentative="0">
      <w:start w:val="1"/>
      <w:numFmt w:val="decimal"/>
      <w:pStyle w:val="108"/>
      <w:suff w:val="nothing"/>
      <w:lvlText w:val="%1%2.%3.%4.%5　"/>
      <w:lvlJc w:val="left"/>
      <w:pPr>
        <w:ind w:left="0" w:firstLine="0"/>
      </w:pPr>
      <w:rPr>
        <w:rFonts w:hint="eastAsia" w:ascii="黑体" w:hAnsi="Times New Roman" w:eastAsia="黑体"/>
        <w:b w:val="0"/>
        <w:i w:val="0"/>
        <w:sz w:val="21"/>
      </w:rPr>
    </w:lvl>
    <w:lvl w:ilvl="5" w:tentative="0">
      <w:start w:val="1"/>
      <w:numFmt w:val="decimal"/>
      <w:pStyle w:val="151"/>
      <w:suff w:val="nothing"/>
      <w:lvlText w:val="%1%2.%3.%4.%5.%6　"/>
      <w:lvlJc w:val="left"/>
      <w:pPr>
        <w:ind w:left="0" w:firstLine="0"/>
      </w:pPr>
      <w:rPr>
        <w:rFonts w:hint="eastAsia" w:ascii="黑体" w:hAnsi="Times New Roman" w:eastAsia="黑体"/>
        <w:b w:val="0"/>
        <w:i w:val="0"/>
        <w:sz w:val="21"/>
      </w:rPr>
    </w:lvl>
    <w:lvl w:ilvl="6" w:tentative="0">
      <w:start w:val="1"/>
      <w:numFmt w:val="decimal"/>
      <w:pStyle w:val="23"/>
      <w:suff w:val="nothing"/>
      <w:lvlText w:val="%1%2.%3.%4.%5.%6.%7　"/>
      <w:lvlJc w:val="left"/>
      <w:pPr>
        <w:ind w:left="3403"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0">
    <w:nsid w:val="39D900A7"/>
    <w:multiLevelType w:val="multilevel"/>
    <w:tmpl w:val="39D900A7"/>
    <w:lvl w:ilvl="0" w:tentative="0">
      <w:start w:val="1"/>
      <w:numFmt w:val="decimal"/>
      <w:lvlText w:val="%1"/>
      <w:lvlJc w:val="left"/>
      <w:pPr>
        <w:ind w:left="980" w:hanging="420"/>
      </w:pPr>
      <w:rPr>
        <w:rFonts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21">
    <w:nsid w:val="39DC6FED"/>
    <w:multiLevelType w:val="multilevel"/>
    <w:tmpl w:val="39DC6FED"/>
    <w:lvl w:ilvl="0" w:tentative="0">
      <w:start w:val="1"/>
      <w:numFmt w:val="decimal"/>
      <w:lvlText w:val="（%1）"/>
      <w:lvlJc w:val="left"/>
      <w:pPr>
        <w:ind w:left="586" w:hanging="420"/>
      </w:pPr>
      <w:rPr>
        <w:rFonts w:hint="eastAsia"/>
        <w:b w:val="0"/>
        <w:bCs w:val="0"/>
      </w:rPr>
    </w:lvl>
    <w:lvl w:ilvl="1" w:tentative="0">
      <w:start w:val="1"/>
      <w:numFmt w:val="lowerLetter"/>
      <w:lvlText w:val="%2)"/>
      <w:lvlJc w:val="left"/>
      <w:pPr>
        <w:ind w:left="1006" w:hanging="420"/>
      </w:pPr>
    </w:lvl>
    <w:lvl w:ilvl="2" w:tentative="0">
      <w:start w:val="1"/>
      <w:numFmt w:val="lowerRoman"/>
      <w:lvlText w:val="%3."/>
      <w:lvlJc w:val="right"/>
      <w:pPr>
        <w:ind w:left="1426" w:hanging="420"/>
      </w:pPr>
    </w:lvl>
    <w:lvl w:ilvl="3" w:tentative="0">
      <w:start w:val="1"/>
      <w:numFmt w:val="decimal"/>
      <w:lvlText w:val="%4."/>
      <w:lvlJc w:val="left"/>
      <w:pPr>
        <w:ind w:left="1846" w:hanging="420"/>
      </w:pPr>
    </w:lvl>
    <w:lvl w:ilvl="4" w:tentative="0">
      <w:start w:val="1"/>
      <w:numFmt w:val="lowerLetter"/>
      <w:lvlText w:val="%5)"/>
      <w:lvlJc w:val="left"/>
      <w:pPr>
        <w:ind w:left="2266" w:hanging="420"/>
      </w:pPr>
    </w:lvl>
    <w:lvl w:ilvl="5" w:tentative="0">
      <w:start w:val="1"/>
      <w:numFmt w:val="lowerRoman"/>
      <w:lvlText w:val="%6."/>
      <w:lvlJc w:val="right"/>
      <w:pPr>
        <w:ind w:left="2686" w:hanging="420"/>
      </w:pPr>
    </w:lvl>
    <w:lvl w:ilvl="6" w:tentative="0">
      <w:start w:val="1"/>
      <w:numFmt w:val="decimal"/>
      <w:lvlText w:val="%7."/>
      <w:lvlJc w:val="left"/>
      <w:pPr>
        <w:ind w:left="3106" w:hanging="420"/>
      </w:pPr>
    </w:lvl>
    <w:lvl w:ilvl="7" w:tentative="0">
      <w:start w:val="1"/>
      <w:numFmt w:val="lowerLetter"/>
      <w:lvlText w:val="%8)"/>
      <w:lvlJc w:val="left"/>
      <w:pPr>
        <w:ind w:left="3526" w:hanging="420"/>
      </w:pPr>
    </w:lvl>
    <w:lvl w:ilvl="8" w:tentative="0">
      <w:start w:val="1"/>
      <w:numFmt w:val="lowerRoman"/>
      <w:lvlText w:val="%9."/>
      <w:lvlJc w:val="right"/>
      <w:pPr>
        <w:ind w:left="3946" w:hanging="420"/>
      </w:pPr>
    </w:lvl>
  </w:abstractNum>
  <w:abstractNum w:abstractNumId="22">
    <w:nsid w:val="404260C3"/>
    <w:multiLevelType w:val="multilevel"/>
    <w:tmpl w:val="404260C3"/>
    <w:lvl w:ilvl="0" w:tentative="0">
      <w:start w:val="1"/>
      <w:numFmt w:val="decimal"/>
      <w:lvlText w:val="（%1）"/>
      <w:lvlJc w:val="left"/>
      <w:pPr>
        <w:ind w:left="586" w:hanging="420"/>
      </w:pPr>
      <w:rPr>
        <w:rFonts w:hint="eastAsia"/>
        <w:b w:val="0"/>
        <w:bCs w:val="0"/>
      </w:rPr>
    </w:lvl>
    <w:lvl w:ilvl="1" w:tentative="0">
      <w:start w:val="1"/>
      <w:numFmt w:val="lowerLetter"/>
      <w:lvlText w:val="%2)"/>
      <w:lvlJc w:val="left"/>
      <w:pPr>
        <w:ind w:left="1006" w:hanging="420"/>
      </w:pPr>
    </w:lvl>
    <w:lvl w:ilvl="2" w:tentative="0">
      <w:start w:val="1"/>
      <w:numFmt w:val="lowerRoman"/>
      <w:lvlText w:val="%3."/>
      <w:lvlJc w:val="right"/>
      <w:pPr>
        <w:ind w:left="1426" w:hanging="420"/>
      </w:pPr>
    </w:lvl>
    <w:lvl w:ilvl="3" w:tentative="0">
      <w:start w:val="1"/>
      <w:numFmt w:val="decimal"/>
      <w:lvlText w:val="%4."/>
      <w:lvlJc w:val="left"/>
      <w:pPr>
        <w:ind w:left="1846" w:hanging="420"/>
      </w:pPr>
    </w:lvl>
    <w:lvl w:ilvl="4" w:tentative="0">
      <w:start w:val="1"/>
      <w:numFmt w:val="lowerLetter"/>
      <w:lvlText w:val="%5)"/>
      <w:lvlJc w:val="left"/>
      <w:pPr>
        <w:ind w:left="2266" w:hanging="420"/>
      </w:pPr>
    </w:lvl>
    <w:lvl w:ilvl="5" w:tentative="0">
      <w:start w:val="1"/>
      <w:numFmt w:val="lowerRoman"/>
      <w:lvlText w:val="%6."/>
      <w:lvlJc w:val="right"/>
      <w:pPr>
        <w:ind w:left="2686" w:hanging="420"/>
      </w:pPr>
    </w:lvl>
    <w:lvl w:ilvl="6" w:tentative="0">
      <w:start w:val="1"/>
      <w:numFmt w:val="decimal"/>
      <w:lvlText w:val="%7."/>
      <w:lvlJc w:val="left"/>
      <w:pPr>
        <w:ind w:left="3106" w:hanging="420"/>
      </w:pPr>
    </w:lvl>
    <w:lvl w:ilvl="7" w:tentative="0">
      <w:start w:val="1"/>
      <w:numFmt w:val="lowerLetter"/>
      <w:lvlText w:val="%8)"/>
      <w:lvlJc w:val="left"/>
      <w:pPr>
        <w:ind w:left="3526" w:hanging="420"/>
      </w:pPr>
    </w:lvl>
    <w:lvl w:ilvl="8" w:tentative="0">
      <w:start w:val="1"/>
      <w:numFmt w:val="lowerRoman"/>
      <w:lvlText w:val="%9."/>
      <w:lvlJc w:val="right"/>
      <w:pPr>
        <w:ind w:left="3946" w:hanging="420"/>
      </w:pPr>
    </w:lvl>
  </w:abstractNum>
  <w:abstractNum w:abstractNumId="23">
    <w:nsid w:val="41D24437"/>
    <w:multiLevelType w:val="multilevel"/>
    <w:tmpl w:val="41D24437"/>
    <w:lvl w:ilvl="0" w:tentative="0">
      <w:start w:val="1"/>
      <w:numFmt w:val="decimal"/>
      <w:suff w:val="nothing"/>
      <w:lvlText w:val="（%1）　"/>
      <w:lvlJc w:val="left"/>
      <w:pPr>
        <w:ind w:left="420" w:hanging="420"/>
      </w:pPr>
      <w:rPr>
        <w:rFonts w:hint="eastAsia" w:ascii="黑体" w:hAnsi="黑体" w:eastAsia="黑体"/>
        <w:b w:val="0"/>
        <w:i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43AD7FB6"/>
    <w:multiLevelType w:val="multilevel"/>
    <w:tmpl w:val="43AD7FB6"/>
    <w:lvl w:ilvl="0" w:tentative="0">
      <w:start w:val="2"/>
      <w:numFmt w:val="none"/>
      <w:suff w:val="nothing"/>
      <w:lvlText w:val="%1"/>
      <w:lvlJc w:val="left"/>
      <w:pPr>
        <w:ind w:left="0" w:firstLine="0"/>
      </w:pPr>
      <w:rPr>
        <w:rFonts w:hint="default" w:ascii="Times New Roman" w:hAnsi="Times New Roman"/>
        <w:b/>
        <w:i w:val="0"/>
        <w:sz w:val="21"/>
      </w:rPr>
    </w:lvl>
    <w:lvl w:ilvl="1" w:tentative="0">
      <w:start w:val="4"/>
      <w:numFmt w:val="decimal"/>
      <w:lvlText w:val="%2"/>
      <w:lvlJc w:val="left"/>
      <w:pPr>
        <w:ind w:left="0" w:firstLine="0"/>
      </w:pPr>
      <w:rPr>
        <w:rFonts w:hint="eastAsia"/>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5">
    <w:nsid w:val="44C50F90"/>
    <w:multiLevelType w:val="multilevel"/>
    <w:tmpl w:val="44C50F90"/>
    <w:lvl w:ilvl="0" w:tentative="0">
      <w:start w:val="1"/>
      <w:numFmt w:val="lowerLetter"/>
      <w:pStyle w:val="129"/>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44"/>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26">
    <w:nsid w:val="46806F7D"/>
    <w:multiLevelType w:val="multilevel"/>
    <w:tmpl w:val="46806F7D"/>
    <w:lvl w:ilvl="0" w:tentative="0">
      <w:start w:val="1"/>
      <w:numFmt w:val="none"/>
      <w:pStyle w:val="154"/>
      <w:lvlText w:val="图"/>
      <w:lvlJc w:val="left"/>
      <w:pPr>
        <w:tabs>
          <w:tab w:val="left" w:pos="360"/>
        </w:tabs>
        <w:ind w:left="0" w:firstLine="0"/>
      </w:pPr>
      <w:rPr>
        <w:rFonts w:hint="eastAsia" w:ascii="黑体" w:eastAsia="黑体"/>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46D22D8F"/>
    <w:multiLevelType w:val="multilevel"/>
    <w:tmpl w:val="46D22D8F"/>
    <w:lvl w:ilvl="0" w:tentative="0">
      <w:start w:val="1"/>
      <w:numFmt w:val="none"/>
      <w:pStyle w:val="131"/>
      <w:lvlText w:val="%1◆　"/>
      <w:lvlJc w:val="left"/>
      <w:pPr>
        <w:tabs>
          <w:tab w:val="left" w:pos="960"/>
        </w:tabs>
        <w:ind w:left="917" w:hanging="317"/>
      </w:pPr>
      <w:rPr>
        <w:rFonts w:hint="eastAsia" w:ascii="宋体" w:hAnsi="Times New Roman" w:eastAsia="宋体"/>
        <w:b w:val="0"/>
        <w:i w:val="0"/>
        <w:position w:val="4"/>
        <w:sz w:val="1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8">
    <w:nsid w:val="479C7C28"/>
    <w:multiLevelType w:val="multilevel"/>
    <w:tmpl w:val="479C7C28"/>
    <w:lvl w:ilvl="0" w:tentative="0">
      <w:start w:val="1"/>
      <w:numFmt w:val="decimal"/>
      <w:lvlText w:val="（%1）"/>
      <w:lvlJc w:val="left"/>
      <w:pPr>
        <w:ind w:left="586" w:hanging="420"/>
      </w:pPr>
      <w:rPr>
        <w:rFonts w:hint="eastAsia"/>
      </w:rPr>
    </w:lvl>
    <w:lvl w:ilvl="1" w:tentative="0">
      <w:start w:val="1"/>
      <w:numFmt w:val="lowerLetter"/>
      <w:lvlText w:val="%2)"/>
      <w:lvlJc w:val="left"/>
      <w:pPr>
        <w:ind w:left="1006" w:hanging="420"/>
      </w:pPr>
    </w:lvl>
    <w:lvl w:ilvl="2" w:tentative="0">
      <w:start w:val="1"/>
      <w:numFmt w:val="lowerRoman"/>
      <w:lvlText w:val="%3."/>
      <w:lvlJc w:val="right"/>
      <w:pPr>
        <w:ind w:left="1426" w:hanging="420"/>
      </w:pPr>
    </w:lvl>
    <w:lvl w:ilvl="3" w:tentative="0">
      <w:start w:val="1"/>
      <w:numFmt w:val="decimal"/>
      <w:lvlText w:val="%4."/>
      <w:lvlJc w:val="left"/>
      <w:pPr>
        <w:ind w:left="1846" w:hanging="420"/>
      </w:pPr>
    </w:lvl>
    <w:lvl w:ilvl="4" w:tentative="0">
      <w:start w:val="1"/>
      <w:numFmt w:val="lowerLetter"/>
      <w:lvlText w:val="%5)"/>
      <w:lvlJc w:val="left"/>
      <w:pPr>
        <w:ind w:left="2266" w:hanging="420"/>
      </w:pPr>
    </w:lvl>
    <w:lvl w:ilvl="5" w:tentative="0">
      <w:start w:val="1"/>
      <w:numFmt w:val="lowerRoman"/>
      <w:lvlText w:val="%6."/>
      <w:lvlJc w:val="right"/>
      <w:pPr>
        <w:ind w:left="2686" w:hanging="420"/>
      </w:pPr>
    </w:lvl>
    <w:lvl w:ilvl="6" w:tentative="0">
      <w:start w:val="1"/>
      <w:numFmt w:val="decimal"/>
      <w:lvlText w:val="%7."/>
      <w:lvlJc w:val="left"/>
      <w:pPr>
        <w:ind w:left="3106" w:hanging="420"/>
      </w:pPr>
    </w:lvl>
    <w:lvl w:ilvl="7" w:tentative="0">
      <w:start w:val="1"/>
      <w:numFmt w:val="lowerLetter"/>
      <w:lvlText w:val="%8)"/>
      <w:lvlJc w:val="left"/>
      <w:pPr>
        <w:ind w:left="3526" w:hanging="420"/>
      </w:pPr>
    </w:lvl>
    <w:lvl w:ilvl="8" w:tentative="0">
      <w:start w:val="1"/>
      <w:numFmt w:val="lowerRoman"/>
      <w:lvlText w:val="%9."/>
      <w:lvlJc w:val="right"/>
      <w:pPr>
        <w:ind w:left="3946" w:hanging="420"/>
      </w:pPr>
    </w:lvl>
  </w:abstractNum>
  <w:abstractNum w:abstractNumId="29">
    <w:nsid w:val="4CD96F6D"/>
    <w:multiLevelType w:val="multilevel"/>
    <w:tmpl w:val="4CD96F6D"/>
    <w:lvl w:ilvl="0" w:tentative="0">
      <w:start w:val="1"/>
      <w:numFmt w:val="decimal"/>
      <w:lvlText w:val="（%1）"/>
      <w:lvlJc w:val="left"/>
      <w:pPr>
        <w:ind w:left="586" w:hanging="420"/>
      </w:pPr>
      <w:rPr>
        <w:rFonts w:hint="eastAsia"/>
        <w:b w:val="0"/>
        <w:bCs w:val="0"/>
      </w:rPr>
    </w:lvl>
    <w:lvl w:ilvl="1" w:tentative="0">
      <w:start w:val="1"/>
      <w:numFmt w:val="lowerLetter"/>
      <w:lvlText w:val="%2)"/>
      <w:lvlJc w:val="left"/>
      <w:pPr>
        <w:ind w:left="1006" w:hanging="420"/>
      </w:pPr>
    </w:lvl>
    <w:lvl w:ilvl="2" w:tentative="0">
      <w:start w:val="1"/>
      <w:numFmt w:val="lowerRoman"/>
      <w:lvlText w:val="%3."/>
      <w:lvlJc w:val="right"/>
      <w:pPr>
        <w:ind w:left="1426" w:hanging="420"/>
      </w:pPr>
    </w:lvl>
    <w:lvl w:ilvl="3" w:tentative="0">
      <w:start w:val="1"/>
      <w:numFmt w:val="decimal"/>
      <w:lvlText w:val="%4."/>
      <w:lvlJc w:val="left"/>
      <w:pPr>
        <w:ind w:left="1846" w:hanging="420"/>
      </w:pPr>
    </w:lvl>
    <w:lvl w:ilvl="4" w:tentative="0">
      <w:start w:val="1"/>
      <w:numFmt w:val="lowerLetter"/>
      <w:lvlText w:val="%5)"/>
      <w:lvlJc w:val="left"/>
      <w:pPr>
        <w:ind w:left="2266" w:hanging="420"/>
      </w:pPr>
    </w:lvl>
    <w:lvl w:ilvl="5" w:tentative="0">
      <w:start w:val="1"/>
      <w:numFmt w:val="lowerRoman"/>
      <w:lvlText w:val="%6."/>
      <w:lvlJc w:val="right"/>
      <w:pPr>
        <w:ind w:left="2686" w:hanging="420"/>
      </w:pPr>
    </w:lvl>
    <w:lvl w:ilvl="6" w:tentative="0">
      <w:start w:val="1"/>
      <w:numFmt w:val="decimal"/>
      <w:lvlText w:val="%7."/>
      <w:lvlJc w:val="left"/>
      <w:pPr>
        <w:ind w:left="3106" w:hanging="420"/>
      </w:pPr>
    </w:lvl>
    <w:lvl w:ilvl="7" w:tentative="0">
      <w:start w:val="1"/>
      <w:numFmt w:val="lowerLetter"/>
      <w:lvlText w:val="%8)"/>
      <w:lvlJc w:val="left"/>
      <w:pPr>
        <w:ind w:left="3526" w:hanging="420"/>
      </w:pPr>
    </w:lvl>
    <w:lvl w:ilvl="8" w:tentative="0">
      <w:start w:val="1"/>
      <w:numFmt w:val="lowerRoman"/>
      <w:lvlText w:val="%9."/>
      <w:lvlJc w:val="right"/>
      <w:pPr>
        <w:ind w:left="3946" w:hanging="420"/>
      </w:pPr>
    </w:lvl>
  </w:abstractNum>
  <w:abstractNum w:abstractNumId="30">
    <w:nsid w:val="4F302902"/>
    <w:multiLevelType w:val="multilevel"/>
    <w:tmpl w:val="4F302902"/>
    <w:lvl w:ilvl="0" w:tentative="0">
      <w:start w:val="1"/>
      <w:numFmt w:val="none"/>
      <w:pStyle w:val="105"/>
      <w:lvlText w:val="表"/>
      <w:lvlJc w:val="left"/>
      <w:pPr>
        <w:tabs>
          <w:tab w:val="left" w:pos="360"/>
        </w:tabs>
        <w:ind w:left="0" w:firstLine="0"/>
      </w:pPr>
      <w:rPr>
        <w:rFonts w:hint="eastAsia" w:ascii="黑体" w:eastAsia="黑体"/>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1">
    <w:nsid w:val="51503455"/>
    <w:multiLevelType w:val="multilevel"/>
    <w:tmpl w:val="51503455"/>
    <w:lvl w:ilvl="0" w:tentative="0">
      <w:start w:val="1"/>
      <w:numFmt w:val="decimal"/>
      <w:lvlText w:val="（%1）"/>
      <w:lvlJc w:val="left"/>
      <w:pPr>
        <w:ind w:left="586" w:hanging="420"/>
      </w:pPr>
      <w:rPr>
        <w:rFonts w:hint="eastAsia"/>
        <w:b w:val="0"/>
        <w:bCs w:val="0"/>
      </w:rPr>
    </w:lvl>
    <w:lvl w:ilvl="1" w:tentative="0">
      <w:start w:val="1"/>
      <w:numFmt w:val="lowerLetter"/>
      <w:lvlText w:val="%2)"/>
      <w:lvlJc w:val="left"/>
      <w:pPr>
        <w:ind w:left="1006" w:hanging="420"/>
      </w:pPr>
    </w:lvl>
    <w:lvl w:ilvl="2" w:tentative="0">
      <w:start w:val="1"/>
      <w:numFmt w:val="lowerRoman"/>
      <w:lvlText w:val="%3."/>
      <w:lvlJc w:val="right"/>
      <w:pPr>
        <w:ind w:left="1426" w:hanging="420"/>
      </w:pPr>
    </w:lvl>
    <w:lvl w:ilvl="3" w:tentative="0">
      <w:start w:val="1"/>
      <w:numFmt w:val="decimal"/>
      <w:lvlText w:val="%4."/>
      <w:lvlJc w:val="left"/>
      <w:pPr>
        <w:ind w:left="1846" w:hanging="420"/>
      </w:pPr>
    </w:lvl>
    <w:lvl w:ilvl="4" w:tentative="0">
      <w:start w:val="1"/>
      <w:numFmt w:val="lowerLetter"/>
      <w:lvlText w:val="%5)"/>
      <w:lvlJc w:val="left"/>
      <w:pPr>
        <w:ind w:left="2266" w:hanging="420"/>
      </w:pPr>
    </w:lvl>
    <w:lvl w:ilvl="5" w:tentative="0">
      <w:start w:val="1"/>
      <w:numFmt w:val="lowerRoman"/>
      <w:lvlText w:val="%6."/>
      <w:lvlJc w:val="right"/>
      <w:pPr>
        <w:ind w:left="2686" w:hanging="420"/>
      </w:pPr>
    </w:lvl>
    <w:lvl w:ilvl="6" w:tentative="0">
      <w:start w:val="1"/>
      <w:numFmt w:val="decimal"/>
      <w:lvlText w:val="%7."/>
      <w:lvlJc w:val="left"/>
      <w:pPr>
        <w:ind w:left="3106" w:hanging="420"/>
      </w:pPr>
    </w:lvl>
    <w:lvl w:ilvl="7" w:tentative="0">
      <w:start w:val="1"/>
      <w:numFmt w:val="lowerLetter"/>
      <w:lvlText w:val="%8)"/>
      <w:lvlJc w:val="left"/>
      <w:pPr>
        <w:ind w:left="3526" w:hanging="420"/>
      </w:pPr>
    </w:lvl>
    <w:lvl w:ilvl="8" w:tentative="0">
      <w:start w:val="1"/>
      <w:numFmt w:val="lowerRoman"/>
      <w:lvlText w:val="%9."/>
      <w:lvlJc w:val="right"/>
      <w:pPr>
        <w:ind w:left="3946" w:hanging="420"/>
      </w:pPr>
    </w:lvl>
  </w:abstractNum>
  <w:abstractNum w:abstractNumId="32">
    <w:nsid w:val="5BC73261"/>
    <w:multiLevelType w:val="multilevel"/>
    <w:tmpl w:val="5BC73261"/>
    <w:lvl w:ilvl="0" w:tentative="0">
      <w:start w:val="1"/>
      <w:numFmt w:val="decimal"/>
      <w:lvlText w:val="%1)"/>
      <w:lvlJc w:val="left"/>
      <w:pPr>
        <w:ind w:left="0" w:firstLine="0"/>
      </w:pPr>
      <w:rPr>
        <w:rFonts w:hint="eastAsia"/>
        <w:b w:val="0"/>
        <w:i w:val="0"/>
        <w:sz w:val="21"/>
      </w:rPr>
    </w:lvl>
    <w:lvl w:ilvl="1" w:tentative="0">
      <w:start w:val="4"/>
      <w:numFmt w:val="decimal"/>
      <w:lvlText w:val="%2"/>
      <w:lvlJc w:val="left"/>
      <w:pPr>
        <w:ind w:left="0" w:firstLine="0"/>
      </w:pPr>
      <w:rPr>
        <w:rFonts w:hint="eastAsia"/>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3">
    <w:nsid w:val="6350366A"/>
    <w:multiLevelType w:val="multilevel"/>
    <w:tmpl w:val="6350366A"/>
    <w:lvl w:ilvl="0" w:tentative="0">
      <w:start w:val="1"/>
      <w:numFmt w:val="none"/>
      <w:pStyle w:val="155"/>
      <w:lvlText w:val="%1●　"/>
      <w:lvlJc w:val="left"/>
      <w:pPr>
        <w:tabs>
          <w:tab w:val="left" w:pos="760"/>
        </w:tabs>
        <w:ind w:left="717" w:hanging="317"/>
      </w:pPr>
      <w:rPr>
        <w:rFonts w:hint="eastAsia" w:ascii="宋体" w:hAnsi="Times New Roman" w:eastAsia="宋体"/>
        <w:b w:val="0"/>
        <w:i w:val="0"/>
        <w:position w:val="4"/>
        <w:sz w:val="13"/>
      </w:rPr>
    </w:lvl>
    <w:lvl w:ilvl="1" w:tentative="0">
      <w:start w:val="1"/>
      <w:numFmt w:val="lowerLetter"/>
      <w:lvlText w:val="%2)"/>
      <w:lvlJc w:val="left"/>
      <w:pPr>
        <w:tabs>
          <w:tab w:val="left" w:pos="780"/>
        </w:tabs>
        <w:ind w:left="780" w:hanging="360"/>
      </w:pPr>
      <w:rPr>
        <w:rFonts w:hint="eastAsia"/>
      </w:rPr>
    </w:lvl>
    <w:lvl w:ilvl="2" w:tentative="0">
      <w:start w:val="1"/>
      <w:numFmt w:val="decimal"/>
      <w:lvlText w:val="%3)"/>
      <w:lvlJc w:val="left"/>
      <w:pPr>
        <w:tabs>
          <w:tab w:val="left" w:pos="1200"/>
        </w:tabs>
        <w:ind w:left="1200" w:hanging="360"/>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4">
    <w:nsid w:val="646260FA"/>
    <w:multiLevelType w:val="multilevel"/>
    <w:tmpl w:val="646260FA"/>
    <w:lvl w:ilvl="0" w:tentative="0">
      <w:start w:val="6"/>
      <w:numFmt w:val="decimal"/>
      <w:pStyle w:val="118"/>
      <w:suff w:val="nothing"/>
      <w:lvlText w:val="%1"/>
      <w:lvlJc w:val="left"/>
      <w:pPr>
        <w:ind w:left="0" w:firstLine="0"/>
      </w:pPr>
      <w:rPr>
        <w:rFonts w:hint="eastAsia" w:ascii="黑体" w:hAnsi="Times New Roman" w:eastAsia="黑体"/>
        <w:b w:val="0"/>
        <w:i w:val="0"/>
        <w:sz w:val="21"/>
      </w:rPr>
    </w:lvl>
    <w:lvl w:ilvl="1" w:tentative="0">
      <w:start w:val="3"/>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35">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lvlText w:val="%2"/>
      <w:lvlJc w:val="left"/>
      <w:pPr>
        <w:ind w:left="0" w:firstLine="0"/>
      </w:pPr>
      <w:rPr>
        <w:rFonts w:hint="eastAsia"/>
        <w:b w:val="0"/>
        <w:i w:val="0"/>
        <w:sz w:val="24"/>
      </w:rPr>
    </w:lvl>
    <w:lvl w:ilvl="2" w:tentative="0">
      <w:start w:val="1"/>
      <w:numFmt w:val="decimal"/>
      <w:suff w:val="nothing"/>
      <w:lvlText w:val="%1%2.%3　"/>
      <w:lvlJc w:val="left"/>
      <w:pPr>
        <w:ind w:left="1985" w:firstLine="0"/>
      </w:pPr>
      <w:rPr>
        <w:rFonts w:hint="eastAsia" w:ascii="黑体" w:hAnsi="Times New Roman" w:eastAsia="黑体"/>
        <w:b w:val="0"/>
        <w:i w:val="0"/>
        <w:sz w:val="24"/>
      </w:rPr>
    </w:lvl>
    <w:lvl w:ilvl="3" w:tentative="0">
      <w:start w:val="1"/>
      <w:numFmt w:val="decimal"/>
      <w:suff w:val="nothing"/>
      <w:lvlText w:val="%1%2.%3.%4　"/>
      <w:lvlJc w:val="left"/>
      <w:pPr>
        <w:ind w:left="0" w:firstLine="0"/>
      </w:pPr>
      <w:rPr>
        <w:rFonts w:hint="eastAsia" w:ascii="黑体" w:hAnsi="Times New Roman" w:eastAsia="黑体"/>
        <w:b w:val="0"/>
        <w:i w:val="0"/>
        <w:sz w:val="24"/>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6">
    <w:nsid w:val="6D1A4C18"/>
    <w:multiLevelType w:val="multilevel"/>
    <w:tmpl w:val="6D1A4C18"/>
    <w:lvl w:ilvl="0" w:tentative="0">
      <w:start w:val="1"/>
      <w:numFmt w:val="decimal"/>
      <w:lvlText w:val="（%1）"/>
      <w:lvlJc w:val="left"/>
      <w:pPr>
        <w:ind w:left="586" w:hanging="420"/>
      </w:pPr>
      <w:rPr>
        <w:rFonts w:hint="eastAsia"/>
        <w:b w:val="0"/>
        <w:bCs w:val="0"/>
      </w:rPr>
    </w:lvl>
    <w:lvl w:ilvl="1" w:tentative="0">
      <w:start w:val="1"/>
      <w:numFmt w:val="lowerLetter"/>
      <w:lvlText w:val="%2)"/>
      <w:lvlJc w:val="left"/>
      <w:pPr>
        <w:ind w:left="1006" w:hanging="420"/>
      </w:pPr>
    </w:lvl>
    <w:lvl w:ilvl="2" w:tentative="0">
      <w:start w:val="1"/>
      <w:numFmt w:val="lowerRoman"/>
      <w:lvlText w:val="%3."/>
      <w:lvlJc w:val="right"/>
      <w:pPr>
        <w:ind w:left="1426" w:hanging="420"/>
      </w:pPr>
    </w:lvl>
    <w:lvl w:ilvl="3" w:tentative="0">
      <w:start w:val="1"/>
      <w:numFmt w:val="decimal"/>
      <w:lvlText w:val="%4."/>
      <w:lvlJc w:val="left"/>
      <w:pPr>
        <w:ind w:left="1846" w:hanging="420"/>
      </w:pPr>
    </w:lvl>
    <w:lvl w:ilvl="4" w:tentative="0">
      <w:start w:val="1"/>
      <w:numFmt w:val="lowerLetter"/>
      <w:lvlText w:val="%5)"/>
      <w:lvlJc w:val="left"/>
      <w:pPr>
        <w:ind w:left="2266" w:hanging="420"/>
      </w:pPr>
    </w:lvl>
    <w:lvl w:ilvl="5" w:tentative="0">
      <w:start w:val="1"/>
      <w:numFmt w:val="lowerRoman"/>
      <w:lvlText w:val="%6."/>
      <w:lvlJc w:val="right"/>
      <w:pPr>
        <w:ind w:left="2686" w:hanging="420"/>
      </w:pPr>
    </w:lvl>
    <w:lvl w:ilvl="6" w:tentative="0">
      <w:start w:val="1"/>
      <w:numFmt w:val="decimal"/>
      <w:lvlText w:val="%7."/>
      <w:lvlJc w:val="left"/>
      <w:pPr>
        <w:ind w:left="3106" w:hanging="420"/>
      </w:pPr>
    </w:lvl>
    <w:lvl w:ilvl="7" w:tentative="0">
      <w:start w:val="1"/>
      <w:numFmt w:val="lowerLetter"/>
      <w:lvlText w:val="%8)"/>
      <w:lvlJc w:val="left"/>
      <w:pPr>
        <w:ind w:left="3526" w:hanging="420"/>
      </w:pPr>
    </w:lvl>
    <w:lvl w:ilvl="8" w:tentative="0">
      <w:start w:val="1"/>
      <w:numFmt w:val="lowerRoman"/>
      <w:lvlText w:val="%9."/>
      <w:lvlJc w:val="right"/>
      <w:pPr>
        <w:ind w:left="3946" w:hanging="420"/>
      </w:pPr>
    </w:lvl>
  </w:abstractNum>
  <w:abstractNum w:abstractNumId="37">
    <w:nsid w:val="6EA92A40"/>
    <w:multiLevelType w:val="multilevel"/>
    <w:tmpl w:val="6EA92A40"/>
    <w:lvl w:ilvl="0" w:tentative="0">
      <w:start w:val="1"/>
      <w:numFmt w:val="decimal"/>
      <w:suff w:val="nothing"/>
      <w:lvlText w:val="（%1）　"/>
      <w:lvlJc w:val="left"/>
      <w:pPr>
        <w:ind w:left="420" w:hanging="420"/>
      </w:pPr>
      <w:rPr>
        <w:rFonts w:hint="eastAsia" w:ascii="宋体" w:hAnsi="宋体" w:eastAsia="宋体"/>
        <w:b w:val="0"/>
        <w:i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6F2115DA"/>
    <w:multiLevelType w:val="multilevel"/>
    <w:tmpl w:val="6F2115DA"/>
    <w:lvl w:ilvl="0" w:tentative="0">
      <w:start w:val="1"/>
      <w:numFmt w:val="decimal"/>
      <w:suff w:val="nothing"/>
      <w:lvlText w:val="（%1）　"/>
      <w:lvlJc w:val="left"/>
      <w:pPr>
        <w:ind w:left="420" w:hanging="420"/>
      </w:pPr>
      <w:rPr>
        <w:rFonts w:hint="eastAsia" w:ascii="黑体" w:hAnsi="黑体" w:eastAsia="黑体"/>
        <w:b w:val="0"/>
        <w:i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708A3576"/>
    <w:multiLevelType w:val="multilevel"/>
    <w:tmpl w:val="708A3576"/>
    <w:lvl w:ilvl="0" w:tentative="0">
      <w:start w:val="1"/>
      <w:numFmt w:val="decimal"/>
      <w:lvlText w:val="（%1）"/>
      <w:lvlJc w:val="left"/>
      <w:pPr>
        <w:ind w:left="586" w:hanging="420"/>
      </w:pPr>
      <w:rPr>
        <w:rFonts w:hint="eastAsia"/>
        <w:b w:val="0"/>
        <w:bCs w:val="0"/>
      </w:rPr>
    </w:lvl>
    <w:lvl w:ilvl="1" w:tentative="0">
      <w:start w:val="1"/>
      <w:numFmt w:val="lowerLetter"/>
      <w:lvlText w:val="%2)"/>
      <w:lvlJc w:val="left"/>
      <w:pPr>
        <w:ind w:left="1006" w:hanging="420"/>
      </w:pPr>
    </w:lvl>
    <w:lvl w:ilvl="2" w:tentative="0">
      <w:start w:val="1"/>
      <w:numFmt w:val="lowerRoman"/>
      <w:lvlText w:val="%3."/>
      <w:lvlJc w:val="right"/>
      <w:pPr>
        <w:ind w:left="1426" w:hanging="420"/>
      </w:pPr>
    </w:lvl>
    <w:lvl w:ilvl="3" w:tentative="0">
      <w:start w:val="1"/>
      <w:numFmt w:val="decimal"/>
      <w:lvlText w:val="%4."/>
      <w:lvlJc w:val="left"/>
      <w:pPr>
        <w:ind w:left="1846" w:hanging="420"/>
      </w:pPr>
    </w:lvl>
    <w:lvl w:ilvl="4" w:tentative="0">
      <w:start w:val="1"/>
      <w:numFmt w:val="lowerLetter"/>
      <w:lvlText w:val="%5)"/>
      <w:lvlJc w:val="left"/>
      <w:pPr>
        <w:ind w:left="2266" w:hanging="420"/>
      </w:pPr>
    </w:lvl>
    <w:lvl w:ilvl="5" w:tentative="0">
      <w:start w:val="1"/>
      <w:numFmt w:val="lowerRoman"/>
      <w:lvlText w:val="%6."/>
      <w:lvlJc w:val="right"/>
      <w:pPr>
        <w:ind w:left="2686" w:hanging="420"/>
      </w:pPr>
    </w:lvl>
    <w:lvl w:ilvl="6" w:tentative="0">
      <w:start w:val="1"/>
      <w:numFmt w:val="decimal"/>
      <w:lvlText w:val="%7."/>
      <w:lvlJc w:val="left"/>
      <w:pPr>
        <w:ind w:left="3106" w:hanging="420"/>
      </w:pPr>
    </w:lvl>
    <w:lvl w:ilvl="7" w:tentative="0">
      <w:start w:val="1"/>
      <w:numFmt w:val="lowerLetter"/>
      <w:lvlText w:val="%8)"/>
      <w:lvlJc w:val="left"/>
      <w:pPr>
        <w:ind w:left="3526" w:hanging="420"/>
      </w:pPr>
    </w:lvl>
    <w:lvl w:ilvl="8" w:tentative="0">
      <w:start w:val="1"/>
      <w:numFmt w:val="lowerRoman"/>
      <w:lvlText w:val="%9."/>
      <w:lvlJc w:val="right"/>
      <w:pPr>
        <w:ind w:left="3946" w:hanging="420"/>
      </w:pPr>
    </w:lvl>
  </w:abstractNum>
  <w:abstractNum w:abstractNumId="40">
    <w:nsid w:val="719C4CBD"/>
    <w:multiLevelType w:val="multilevel"/>
    <w:tmpl w:val="719C4CBD"/>
    <w:lvl w:ilvl="0" w:tentative="0">
      <w:start w:val="1"/>
      <w:numFmt w:val="decimal"/>
      <w:lvlText w:val="（%1）"/>
      <w:lvlJc w:val="left"/>
      <w:pPr>
        <w:ind w:left="586" w:hanging="420"/>
      </w:pPr>
      <w:rPr>
        <w:rFonts w:hint="eastAsia"/>
        <w:b w:val="0"/>
        <w:bCs w:val="0"/>
      </w:rPr>
    </w:lvl>
    <w:lvl w:ilvl="1" w:tentative="0">
      <w:start w:val="1"/>
      <w:numFmt w:val="lowerLetter"/>
      <w:lvlText w:val="%2)"/>
      <w:lvlJc w:val="left"/>
      <w:pPr>
        <w:ind w:left="1006" w:hanging="420"/>
      </w:pPr>
    </w:lvl>
    <w:lvl w:ilvl="2" w:tentative="0">
      <w:start w:val="1"/>
      <w:numFmt w:val="lowerRoman"/>
      <w:lvlText w:val="%3."/>
      <w:lvlJc w:val="right"/>
      <w:pPr>
        <w:ind w:left="1426" w:hanging="420"/>
      </w:pPr>
    </w:lvl>
    <w:lvl w:ilvl="3" w:tentative="0">
      <w:start w:val="1"/>
      <w:numFmt w:val="decimal"/>
      <w:lvlText w:val="%4."/>
      <w:lvlJc w:val="left"/>
      <w:pPr>
        <w:ind w:left="1846" w:hanging="420"/>
      </w:pPr>
    </w:lvl>
    <w:lvl w:ilvl="4" w:tentative="0">
      <w:start w:val="1"/>
      <w:numFmt w:val="lowerLetter"/>
      <w:lvlText w:val="%5)"/>
      <w:lvlJc w:val="left"/>
      <w:pPr>
        <w:ind w:left="2266" w:hanging="420"/>
      </w:pPr>
    </w:lvl>
    <w:lvl w:ilvl="5" w:tentative="0">
      <w:start w:val="1"/>
      <w:numFmt w:val="lowerRoman"/>
      <w:lvlText w:val="%6."/>
      <w:lvlJc w:val="right"/>
      <w:pPr>
        <w:ind w:left="2686" w:hanging="420"/>
      </w:pPr>
    </w:lvl>
    <w:lvl w:ilvl="6" w:tentative="0">
      <w:start w:val="1"/>
      <w:numFmt w:val="decimal"/>
      <w:lvlText w:val="%7."/>
      <w:lvlJc w:val="left"/>
      <w:pPr>
        <w:ind w:left="3106" w:hanging="420"/>
      </w:pPr>
    </w:lvl>
    <w:lvl w:ilvl="7" w:tentative="0">
      <w:start w:val="1"/>
      <w:numFmt w:val="lowerLetter"/>
      <w:lvlText w:val="%8)"/>
      <w:lvlJc w:val="left"/>
      <w:pPr>
        <w:ind w:left="3526" w:hanging="420"/>
      </w:pPr>
    </w:lvl>
    <w:lvl w:ilvl="8" w:tentative="0">
      <w:start w:val="1"/>
      <w:numFmt w:val="lowerRoman"/>
      <w:lvlText w:val="%9."/>
      <w:lvlJc w:val="right"/>
      <w:pPr>
        <w:ind w:left="3946" w:hanging="420"/>
      </w:pPr>
    </w:lvl>
  </w:abstractNum>
  <w:abstractNum w:abstractNumId="41">
    <w:nsid w:val="74C324E0"/>
    <w:multiLevelType w:val="multilevel"/>
    <w:tmpl w:val="74C324E0"/>
    <w:lvl w:ilvl="0" w:tentative="0">
      <w:start w:val="1"/>
      <w:numFmt w:val="none"/>
      <w:suff w:val="nothing"/>
      <w:lvlText w:val="%1"/>
      <w:lvlJc w:val="left"/>
      <w:pPr>
        <w:ind w:left="0" w:firstLine="0"/>
      </w:pPr>
      <w:rPr>
        <w:rFonts w:hint="default" w:ascii="Times New Roman" w:hAnsi="Times New Roman"/>
        <w:b/>
        <w:i w:val="0"/>
        <w:sz w:val="21"/>
      </w:rPr>
    </w:lvl>
    <w:lvl w:ilvl="1" w:tentative="0">
      <w:start w:val="8"/>
      <w:numFmt w:val="upperLetter"/>
      <w:suff w:val="nothing"/>
      <w:lvlText w:val="附录%2　"/>
      <w:lvlJc w:val="left"/>
      <w:pPr>
        <w:ind w:left="0" w:firstLine="0"/>
      </w:pPr>
      <w:rPr>
        <w:rFonts w:hint="eastAsia"/>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2">
    <w:nsid w:val="76933334"/>
    <w:multiLevelType w:val="multilevel"/>
    <w:tmpl w:val="76933334"/>
    <w:lvl w:ilvl="0" w:tentative="0">
      <w:start w:val="1"/>
      <w:numFmt w:val="none"/>
      <w:pStyle w:val="100"/>
      <w:lvlText w:val="%1——"/>
      <w:lvlJc w:val="left"/>
      <w:pPr>
        <w:tabs>
          <w:tab w:val="left" w:pos="11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3">
    <w:nsid w:val="774322DD"/>
    <w:multiLevelType w:val="multilevel"/>
    <w:tmpl w:val="774322DD"/>
    <w:lvl w:ilvl="0" w:tentative="0">
      <w:start w:val="1"/>
      <w:numFmt w:val="decimal"/>
      <w:lvlText w:val="（%1）"/>
      <w:lvlJc w:val="left"/>
      <w:pPr>
        <w:ind w:left="586" w:hanging="420"/>
      </w:pPr>
      <w:rPr>
        <w:rFonts w:hint="eastAsia"/>
      </w:rPr>
    </w:lvl>
    <w:lvl w:ilvl="1" w:tentative="0">
      <w:start w:val="1"/>
      <w:numFmt w:val="lowerLetter"/>
      <w:lvlText w:val="%2)"/>
      <w:lvlJc w:val="left"/>
      <w:pPr>
        <w:ind w:left="1006" w:hanging="420"/>
      </w:pPr>
    </w:lvl>
    <w:lvl w:ilvl="2" w:tentative="0">
      <w:start w:val="1"/>
      <w:numFmt w:val="lowerRoman"/>
      <w:lvlText w:val="%3."/>
      <w:lvlJc w:val="right"/>
      <w:pPr>
        <w:ind w:left="1426" w:hanging="420"/>
      </w:pPr>
    </w:lvl>
    <w:lvl w:ilvl="3" w:tentative="0">
      <w:start w:val="1"/>
      <w:numFmt w:val="decimal"/>
      <w:lvlText w:val="%4."/>
      <w:lvlJc w:val="left"/>
      <w:pPr>
        <w:ind w:left="1846" w:hanging="420"/>
      </w:pPr>
    </w:lvl>
    <w:lvl w:ilvl="4" w:tentative="0">
      <w:start w:val="1"/>
      <w:numFmt w:val="lowerLetter"/>
      <w:lvlText w:val="%5)"/>
      <w:lvlJc w:val="left"/>
      <w:pPr>
        <w:ind w:left="2266" w:hanging="420"/>
      </w:pPr>
    </w:lvl>
    <w:lvl w:ilvl="5" w:tentative="0">
      <w:start w:val="1"/>
      <w:numFmt w:val="lowerRoman"/>
      <w:lvlText w:val="%6."/>
      <w:lvlJc w:val="right"/>
      <w:pPr>
        <w:ind w:left="2686" w:hanging="420"/>
      </w:pPr>
    </w:lvl>
    <w:lvl w:ilvl="6" w:tentative="0">
      <w:start w:val="1"/>
      <w:numFmt w:val="decimal"/>
      <w:lvlText w:val="%7."/>
      <w:lvlJc w:val="left"/>
      <w:pPr>
        <w:ind w:left="3106" w:hanging="420"/>
      </w:pPr>
    </w:lvl>
    <w:lvl w:ilvl="7" w:tentative="0">
      <w:start w:val="1"/>
      <w:numFmt w:val="lowerLetter"/>
      <w:lvlText w:val="%8)"/>
      <w:lvlJc w:val="left"/>
      <w:pPr>
        <w:ind w:left="3526" w:hanging="420"/>
      </w:pPr>
    </w:lvl>
    <w:lvl w:ilvl="8" w:tentative="0">
      <w:start w:val="1"/>
      <w:numFmt w:val="lowerRoman"/>
      <w:lvlText w:val="%9."/>
      <w:lvlJc w:val="right"/>
      <w:pPr>
        <w:ind w:left="3946" w:hanging="420"/>
      </w:pPr>
    </w:lvl>
  </w:abstractNum>
  <w:abstractNum w:abstractNumId="44">
    <w:nsid w:val="7980032D"/>
    <w:multiLevelType w:val="multilevel"/>
    <w:tmpl w:val="7980032D"/>
    <w:lvl w:ilvl="0" w:tentative="0">
      <w:start w:val="1"/>
      <w:numFmt w:val="decimal"/>
      <w:lvlText w:val="（%1）"/>
      <w:lvlJc w:val="left"/>
      <w:pPr>
        <w:ind w:left="586" w:hanging="420"/>
      </w:pPr>
      <w:rPr>
        <w:rFonts w:hint="eastAsia"/>
        <w:lang w:val="en-US"/>
      </w:rPr>
    </w:lvl>
    <w:lvl w:ilvl="1" w:tentative="0">
      <w:start w:val="1"/>
      <w:numFmt w:val="lowerLetter"/>
      <w:lvlText w:val="%2)"/>
      <w:lvlJc w:val="left"/>
      <w:pPr>
        <w:ind w:left="1006" w:hanging="420"/>
      </w:pPr>
    </w:lvl>
    <w:lvl w:ilvl="2" w:tentative="0">
      <w:start w:val="1"/>
      <w:numFmt w:val="lowerRoman"/>
      <w:lvlText w:val="%3."/>
      <w:lvlJc w:val="right"/>
      <w:pPr>
        <w:ind w:left="1426" w:hanging="420"/>
      </w:pPr>
    </w:lvl>
    <w:lvl w:ilvl="3" w:tentative="0">
      <w:start w:val="1"/>
      <w:numFmt w:val="decimal"/>
      <w:lvlText w:val="%4."/>
      <w:lvlJc w:val="left"/>
      <w:pPr>
        <w:ind w:left="1846" w:hanging="420"/>
      </w:pPr>
    </w:lvl>
    <w:lvl w:ilvl="4" w:tentative="0">
      <w:start w:val="1"/>
      <w:numFmt w:val="lowerLetter"/>
      <w:lvlText w:val="%5)"/>
      <w:lvlJc w:val="left"/>
      <w:pPr>
        <w:ind w:left="2266" w:hanging="420"/>
      </w:pPr>
    </w:lvl>
    <w:lvl w:ilvl="5" w:tentative="0">
      <w:start w:val="1"/>
      <w:numFmt w:val="lowerRoman"/>
      <w:lvlText w:val="%6."/>
      <w:lvlJc w:val="right"/>
      <w:pPr>
        <w:ind w:left="2686" w:hanging="420"/>
      </w:pPr>
    </w:lvl>
    <w:lvl w:ilvl="6" w:tentative="0">
      <w:start w:val="1"/>
      <w:numFmt w:val="decimal"/>
      <w:lvlText w:val="%7."/>
      <w:lvlJc w:val="left"/>
      <w:pPr>
        <w:ind w:left="3106" w:hanging="420"/>
      </w:pPr>
    </w:lvl>
    <w:lvl w:ilvl="7" w:tentative="0">
      <w:start w:val="1"/>
      <w:numFmt w:val="lowerLetter"/>
      <w:lvlText w:val="%8)"/>
      <w:lvlJc w:val="left"/>
      <w:pPr>
        <w:ind w:left="3526" w:hanging="420"/>
      </w:pPr>
    </w:lvl>
    <w:lvl w:ilvl="8" w:tentative="0">
      <w:start w:val="1"/>
      <w:numFmt w:val="lowerRoman"/>
      <w:lvlText w:val="%9."/>
      <w:lvlJc w:val="right"/>
      <w:pPr>
        <w:ind w:left="3946" w:hanging="420"/>
      </w:pPr>
    </w:lvl>
  </w:abstractNum>
  <w:num w:numId="1">
    <w:abstractNumId w:val="19"/>
  </w:num>
  <w:num w:numId="2">
    <w:abstractNumId w:val="42"/>
  </w:num>
  <w:num w:numId="3">
    <w:abstractNumId w:val="30"/>
  </w:num>
  <w:num w:numId="4">
    <w:abstractNumId w:val="34"/>
  </w:num>
  <w:num w:numId="5">
    <w:abstractNumId w:val="25"/>
  </w:num>
  <w:num w:numId="6">
    <w:abstractNumId w:val="27"/>
  </w:num>
  <w:num w:numId="7">
    <w:abstractNumId w:val="26"/>
  </w:num>
  <w:num w:numId="8">
    <w:abstractNumId w:val="33"/>
  </w:num>
  <w:num w:numId="9">
    <w:abstractNumId w:val="35"/>
  </w:num>
  <w:num w:numId="10">
    <w:abstractNumId w:val="24"/>
  </w:num>
  <w:num w:numId="11">
    <w:abstractNumId w:val="23"/>
  </w:num>
  <w:num w:numId="12">
    <w:abstractNumId w:val="18"/>
  </w:num>
  <w:num w:numId="13">
    <w:abstractNumId w:val="32"/>
  </w:num>
  <w:num w:numId="14">
    <w:abstractNumId w:val="37"/>
  </w:num>
  <w:num w:numId="15">
    <w:abstractNumId w:val="1"/>
  </w:num>
  <w:num w:numId="16">
    <w:abstractNumId w:val="38"/>
  </w:num>
  <w:num w:numId="17">
    <w:abstractNumId w:val="6"/>
  </w:num>
  <w:num w:numId="18">
    <w:abstractNumId w:val="13"/>
  </w:num>
  <w:num w:numId="19">
    <w:abstractNumId w:val="10"/>
  </w:num>
  <w:num w:numId="20">
    <w:abstractNumId w:val="2"/>
  </w:num>
  <w:num w:numId="21">
    <w:abstractNumId w:val="11"/>
  </w:num>
  <w:num w:numId="22">
    <w:abstractNumId w:val="3"/>
  </w:num>
  <w:num w:numId="23">
    <w:abstractNumId w:val="9"/>
  </w:num>
  <w:num w:numId="24">
    <w:abstractNumId w:val="41"/>
  </w:num>
  <w:num w:numId="25">
    <w:abstractNumId w:val="5"/>
  </w:num>
  <w:num w:numId="26">
    <w:abstractNumId w:val="0"/>
  </w:num>
  <w:num w:numId="27">
    <w:abstractNumId w:val="15"/>
  </w:num>
  <w:num w:numId="28">
    <w:abstractNumId w:val="12"/>
  </w:num>
  <w:num w:numId="29">
    <w:abstractNumId w:val="28"/>
  </w:num>
  <w:num w:numId="30">
    <w:abstractNumId w:val="7"/>
  </w:num>
  <w:num w:numId="31">
    <w:abstractNumId w:val="43"/>
  </w:num>
  <w:num w:numId="32">
    <w:abstractNumId w:val="14"/>
  </w:num>
  <w:num w:numId="33">
    <w:abstractNumId w:val="8"/>
  </w:num>
  <w:num w:numId="34">
    <w:abstractNumId w:val="29"/>
  </w:num>
  <w:num w:numId="35">
    <w:abstractNumId w:val="39"/>
  </w:num>
  <w:num w:numId="36">
    <w:abstractNumId w:val="17"/>
  </w:num>
  <w:num w:numId="37">
    <w:abstractNumId w:val="22"/>
  </w:num>
  <w:num w:numId="38">
    <w:abstractNumId w:val="44"/>
  </w:num>
  <w:num w:numId="39">
    <w:abstractNumId w:val="36"/>
  </w:num>
  <w:num w:numId="40">
    <w:abstractNumId w:val="40"/>
  </w:num>
  <w:num w:numId="41">
    <w:abstractNumId w:val="31"/>
  </w:num>
  <w:num w:numId="42">
    <w:abstractNumId w:val="21"/>
  </w:num>
  <w:num w:numId="43">
    <w:abstractNumId w:val="4"/>
  </w:num>
  <w:num w:numId="44">
    <w:abstractNumId w:val="16"/>
  </w:num>
  <w:num w:numId="4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trackRevisions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6B1A"/>
    <w:rsid w:val="000059CB"/>
    <w:rsid w:val="00016C8D"/>
    <w:rsid w:val="00017569"/>
    <w:rsid w:val="00021C91"/>
    <w:rsid w:val="00024514"/>
    <w:rsid w:val="000253CE"/>
    <w:rsid w:val="00037035"/>
    <w:rsid w:val="000403F3"/>
    <w:rsid w:val="000408D6"/>
    <w:rsid w:val="00041319"/>
    <w:rsid w:val="00041F0A"/>
    <w:rsid w:val="0004555F"/>
    <w:rsid w:val="00050625"/>
    <w:rsid w:val="0005611B"/>
    <w:rsid w:val="00056E13"/>
    <w:rsid w:val="00064C5C"/>
    <w:rsid w:val="00065F84"/>
    <w:rsid w:val="0007370A"/>
    <w:rsid w:val="00076237"/>
    <w:rsid w:val="00086B6E"/>
    <w:rsid w:val="00090DD5"/>
    <w:rsid w:val="00093F2C"/>
    <w:rsid w:val="000A5AA9"/>
    <w:rsid w:val="000A5BB2"/>
    <w:rsid w:val="000B24C8"/>
    <w:rsid w:val="000B61FF"/>
    <w:rsid w:val="000B6276"/>
    <w:rsid w:val="000B679C"/>
    <w:rsid w:val="000C3BD5"/>
    <w:rsid w:val="000C4DF8"/>
    <w:rsid w:val="000E0E48"/>
    <w:rsid w:val="000E194F"/>
    <w:rsid w:val="000E1BC0"/>
    <w:rsid w:val="000E380D"/>
    <w:rsid w:val="000E5FDB"/>
    <w:rsid w:val="000F109C"/>
    <w:rsid w:val="000F510E"/>
    <w:rsid w:val="0010682E"/>
    <w:rsid w:val="00110467"/>
    <w:rsid w:val="00112456"/>
    <w:rsid w:val="001176E2"/>
    <w:rsid w:val="00124C87"/>
    <w:rsid w:val="0013066D"/>
    <w:rsid w:val="001317BA"/>
    <w:rsid w:val="00136C18"/>
    <w:rsid w:val="001373C4"/>
    <w:rsid w:val="00143511"/>
    <w:rsid w:val="0014397A"/>
    <w:rsid w:val="001464F7"/>
    <w:rsid w:val="00152CC5"/>
    <w:rsid w:val="00166B71"/>
    <w:rsid w:val="00167B74"/>
    <w:rsid w:val="00170D45"/>
    <w:rsid w:val="001759AC"/>
    <w:rsid w:val="001814E9"/>
    <w:rsid w:val="00186F25"/>
    <w:rsid w:val="001A32A3"/>
    <w:rsid w:val="001A5332"/>
    <w:rsid w:val="001A74A7"/>
    <w:rsid w:val="001B3DB9"/>
    <w:rsid w:val="001B6EB9"/>
    <w:rsid w:val="001C3AB2"/>
    <w:rsid w:val="001C6925"/>
    <w:rsid w:val="001C6CAF"/>
    <w:rsid w:val="001D1D40"/>
    <w:rsid w:val="001E18AB"/>
    <w:rsid w:val="001E2B28"/>
    <w:rsid w:val="001E3DCA"/>
    <w:rsid w:val="001F69D5"/>
    <w:rsid w:val="001F7BB4"/>
    <w:rsid w:val="00211782"/>
    <w:rsid w:val="00213733"/>
    <w:rsid w:val="00214722"/>
    <w:rsid w:val="002264B4"/>
    <w:rsid w:val="002328DA"/>
    <w:rsid w:val="00234EFC"/>
    <w:rsid w:val="00255EC8"/>
    <w:rsid w:val="00261575"/>
    <w:rsid w:val="0026252C"/>
    <w:rsid w:val="00267646"/>
    <w:rsid w:val="002704FC"/>
    <w:rsid w:val="00273705"/>
    <w:rsid w:val="00275144"/>
    <w:rsid w:val="00280849"/>
    <w:rsid w:val="00280B8A"/>
    <w:rsid w:val="00280CB7"/>
    <w:rsid w:val="0028579E"/>
    <w:rsid w:val="002875CA"/>
    <w:rsid w:val="002A11D7"/>
    <w:rsid w:val="002A3389"/>
    <w:rsid w:val="002A3B15"/>
    <w:rsid w:val="002A47AE"/>
    <w:rsid w:val="002A69FC"/>
    <w:rsid w:val="002B1BAB"/>
    <w:rsid w:val="002B3988"/>
    <w:rsid w:val="002C403C"/>
    <w:rsid w:val="002C5983"/>
    <w:rsid w:val="002D1134"/>
    <w:rsid w:val="002D5CAA"/>
    <w:rsid w:val="002D737A"/>
    <w:rsid w:val="002E5D40"/>
    <w:rsid w:val="00306B1E"/>
    <w:rsid w:val="00314C6A"/>
    <w:rsid w:val="00315D0E"/>
    <w:rsid w:val="00317D3A"/>
    <w:rsid w:val="00320338"/>
    <w:rsid w:val="00330275"/>
    <w:rsid w:val="003315A0"/>
    <w:rsid w:val="0033220F"/>
    <w:rsid w:val="003336DE"/>
    <w:rsid w:val="00333C03"/>
    <w:rsid w:val="00341CE1"/>
    <w:rsid w:val="00345434"/>
    <w:rsid w:val="00345610"/>
    <w:rsid w:val="00347825"/>
    <w:rsid w:val="00354C85"/>
    <w:rsid w:val="00360F2F"/>
    <w:rsid w:val="0036213C"/>
    <w:rsid w:val="00362A0E"/>
    <w:rsid w:val="00374301"/>
    <w:rsid w:val="00375C01"/>
    <w:rsid w:val="003766B3"/>
    <w:rsid w:val="00385687"/>
    <w:rsid w:val="0038679A"/>
    <w:rsid w:val="0039016D"/>
    <w:rsid w:val="00395B9B"/>
    <w:rsid w:val="003A28E3"/>
    <w:rsid w:val="003A6F72"/>
    <w:rsid w:val="003A7B0C"/>
    <w:rsid w:val="003C0B9B"/>
    <w:rsid w:val="003C5CBF"/>
    <w:rsid w:val="003E4D55"/>
    <w:rsid w:val="003E5619"/>
    <w:rsid w:val="003F7C26"/>
    <w:rsid w:val="00401889"/>
    <w:rsid w:val="00402AA8"/>
    <w:rsid w:val="00410437"/>
    <w:rsid w:val="004104A0"/>
    <w:rsid w:val="004137BB"/>
    <w:rsid w:val="00423689"/>
    <w:rsid w:val="00425028"/>
    <w:rsid w:val="00435636"/>
    <w:rsid w:val="00435CE7"/>
    <w:rsid w:val="00440F15"/>
    <w:rsid w:val="00450B71"/>
    <w:rsid w:val="004573F2"/>
    <w:rsid w:val="00463AB8"/>
    <w:rsid w:val="00463B11"/>
    <w:rsid w:val="00463F39"/>
    <w:rsid w:val="004663CE"/>
    <w:rsid w:val="00467221"/>
    <w:rsid w:val="00481E7E"/>
    <w:rsid w:val="004839AC"/>
    <w:rsid w:val="004957B4"/>
    <w:rsid w:val="004A64EC"/>
    <w:rsid w:val="004D0C7D"/>
    <w:rsid w:val="004D233F"/>
    <w:rsid w:val="004E240D"/>
    <w:rsid w:val="004F29DA"/>
    <w:rsid w:val="004F417E"/>
    <w:rsid w:val="004F4F92"/>
    <w:rsid w:val="00502382"/>
    <w:rsid w:val="005033CF"/>
    <w:rsid w:val="00511D94"/>
    <w:rsid w:val="005135D9"/>
    <w:rsid w:val="00513B16"/>
    <w:rsid w:val="005141FE"/>
    <w:rsid w:val="00516244"/>
    <w:rsid w:val="005262DB"/>
    <w:rsid w:val="005309EC"/>
    <w:rsid w:val="0053191F"/>
    <w:rsid w:val="0053204B"/>
    <w:rsid w:val="0053215F"/>
    <w:rsid w:val="00534BF1"/>
    <w:rsid w:val="00540B8F"/>
    <w:rsid w:val="00540CB6"/>
    <w:rsid w:val="005420C8"/>
    <w:rsid w:val="00543D9B"/>
    <w:rsid w:val="00544FAA"/>
    <w:rsid w:val="00551A33"/>
    <w:rsid w:val="0055478E"/>
    <w:rsid w:val="005553CA"/>
    <w:rsid w:val="00564BF0"/>
    <w:rsid w:val="00565198"/>
    <w:rsid w:val="005653EE"/>
    <w:rsid w:val="0057340E"/>
    <w:rsid w:val="00573757"/>
    <w:rsid w:val="00576E7A"/>
    <w:rsid w:val="00582356"/>
    <w:rsid w:val="00582C86"/>
    <w:rsid w:val="005907E7"/>
    <w:rsid w:val="005971CB"/>
    <w:rsid w:val="005A7F23"/>
    <w:rsid w:val="005B1C62"/>
    <w:rsid w:val="005B1D53"/>
    <w:rsid w:val="005B4392"/>
    <w:rsid w:val="005C20EB"/>
    <w:rsid w:val="005C6289"/>
    <w:rsid w:val="005D0C07"/>
    <w:rsid w:val="005D739A"/>
    <w:rsid w:val="005E4B3A"/>
    <w:rsid w:val="005F16B6"/>
    <w:rsid w:val="005F1F0D"/>
    <w:rsid w:val="005F20B9"/>
    <w:rsid w:val="00607FA5"/>
    <w:rsid w:val="0061185C"/>
    <w:rsid w:val="00612E22"/>
    <w:rsid w:val="00615503"/>
    <w:rsid w:val="00622DB4"/>
    <w:rsid w:val="00632EC9"/>
    <w:rsid w:val="006330F5"/>
    <w:rsid w:val="00636B1A"/>
    <w:rsid w:val="006401D2"/>
    <w:rsid w:val="00646F44"/>
    <w:rsid w:val="006517A3"/>
    <w:rsid w:val="0065538C"/>
    <w:rsid w:val="00656024"/>
    <w:rsid w:val="006610FA"/>
    <w:rsid w:val="00664D55"/>
    <w:rsid w:val="006650FC"/>
    <w:rsid w:val="006712A3"/>
    <w:rsid w:val="00676B4E"/>
    <w:rsid w:val="00681805"/>
    <w:rsid w:val="00683C74"/>
    <w:rsid w:val="00684F6B"/>
    <w:rsid w:val="00695215"/>
    <w:rsid w:val="00695C64"/>
    <w:rsid w:val="006A4D62"/>
    <w:rsid w:val="006A7E35"/>
    <w:rsid w:val="006B7BDB"/>
    <w:rsid w:val="006C6013"/>
    <w:rsid w:val="006D5960"/>
    <w:rsid w:val="006D6BB1"/>
    <w:rsid w:val="006E0AD4"/>
    <w:rsid w:val="006E1249"/>
    <w:rsid w:val="006E1319"/>
    <w:rsid w:val="006F14F0"/>
    <w:rsid w:val="00704BFA"/>
    <w:rsid w:val="007228F7"/>
    <w:rsid w:val="00727123"/>
    <w:rsid w:val="0073308D"/>
    <w:rsid w:val="007345B2"/>
    <w:rsid w:val="007415AD"/>
    <w:rsid w:val="00742441"/>
    <w:rsid w:val="00745EF3"/>
    <w:rsid w:val="0074670B"/>
    <w:rsid w:val="00746D90"/>
    <w:rsid w:val="00747697"/>
    <w:rsid w:val="00756AC4"/>
    <w:rsid w:val="00757588"/>
    <w:rsid w:val="00761198"/>
    <w:rsid w:val="007629B4"/>
    <w:rsid w:val="00764891"/>
    <w:rsid w:val="00765EE5"/>
    <w:rsid w:val="00775B5E"/>
    <w:rsid w:val="00775B91"/>
    <w:rsid w:val="007762B3"/>
    <w:rsid w:val="00777A53"/>
    <w:rsid w:val="00782BCC"/>
    <w:rsid w:val="007837B7"/>
    <w:rsid w:val="0078686E"/>
    <w:rsid w:val="007B1DEB"/>
    <w:rsid w:val="007B4C44"/>
    <w:rsid w:val="007B5554"/>
    <w:rsid w:val="007B5CB3"/>
    <w:rsid w:val="007C39A5"/>
    <w:rsid w:val="007C3FB7"/>
    <w:rsid w:val="007C4D74"/>
    <w:rsid w:val="007D0D3C"/>
    <w:rsid w:val="007E2204"/>
    <w:rsid w:val="007E46F4"/>
    <w:rsid w:val="007E7BFC"/>
    <w:rsid w:val="007F5624"/>
    <w:rsid w:val="0080182A"/>
    <w:rsid w:val="00802B28"/>
    <w:rsid w:val="00815968"/>
    <w:rsid w:val="00815BB7"/>
    <w:rsid w:val="0082509E"/>
    <w:rsid w:val="00836CB7"/>
    <w:rsid w:val="0083713A"/>
    <w:rsid w:val="0084145F"/>
    <w:rsid w:val="00844B29"/>
    <w:rsid w:val="00845291"/>
    <w:rsid w:val="00847AB6"/>
    <w:rsid w:val="00855E7E"/>
    <w:rsid w:val="00862816"/>
    <w:rsid w:val="00867AD2"/>
    <w:rsid w:val="008735C4"/>
    <w:rsid w:val="00875E4C"/>
    <w:rsid w:val="0087797F"/>
    <w:rsid w:val="008814C1"/>
    <w:rsid w:val="00886085"/>
    <w:rsid w:val="008918A5"/>
    <w:rsid w:val="008922B3"/>
    <w:rsid w:val="00894374"/>
    <w:rsid w:val="008A2E9C"/>
    <w:rsid w:val="008B2BE8"/>
    <w:rsid w:val="008B32DE"/>
    <w:rsid w:val="008B4ED3"/>
    <w:rsid w:val="008D327E"/>
    <w:rsid w:val="008D6412"/>
    <w:rsid w:val="008D7985"/>
    <w:rsid w:val="008E0C8B"/>
    <w:rsid w:val="008E15B2"/>
    <w:rsid w:val="008E542B"/>
    <w:rsid w:val="008E56D6"/>
    <w:rsid w:val="008E662D"/>
    <w:rsid w:val="008E6E91"/>
    <w:rsid w:val="008F221D"/>
    <w:rsid w:val="008F42CD"/>
    <w:rsid w:val="008F4BB5"/>
    <w:rsid w:val="008F7DFB"/>
    <w:rsid w:val="0090136B"/>
    <w:rsid w:val="00901C8E"/>
    <w:rsid w:val="00907CF0"/>
    <w:rsid w:val="00911D90"/>
    <w:rsid w:val="00912513"/>
    <w:rsid w:val="0091616A"/>
    <w:rsid w:val="00916639"/>
    <w:rsid w:val="009231A7"/>
    <w:rsid w:val="0092738B"/>
    <w:rsid w:val="00927A60"/>
    <w:rsid w:val="0093300D"/>
    <w:rsid w:val="0093529C"/>
    <w:rsid w:val="009352E3"/>
    <w:rsid w:val="00935426"/>
    <w:rsid w:val="00935EC4"/>
    <w:rsid w:val="00946E45"/>
    <w:rsid w:val="0095033C"/>
    <w:rsid w:val="00963B59"/>
    <w:rsid w:val="009710AF"/>
    <w:rsid w:val="009713E7"/>
    <w:rsid w:val="0097445F"/>
    <w:rsid w:val="009811A0"/>
    <w:rsid w:val="00984863"/>
    <w:rsid w:val="00984DC7"/>
    <w:rsid w:val="00990002"/>
    <w:rsid w:val="009B0BE2"/>
    <w:rsid w:val="009C0A22"/>
    <w:rsid w:val="009D08C3"/>
    <w:rsid w:val="009D15AA"/>
    <w:rsid w:val="009D32F1"/>
    <w:rsid w:val="009D7152"/>
    <w:rsid w:val="009E08FA"/>
    <w:rsid w:val="009E1A5E"/>
    <w:rsid w:val="009E5B43"/>
    <w:rsid w:val="009E7116"/>
    <w:rsid w:val="009F00E6"/>
    <w:rsid w:val="009F6392"/>
    <w:rsid w:val="00A007D5"/>
    <w:rsid w:val="00A01F4B"/>
    <w:rsid w:val="00A034CD"/>
    <w:rsid w:val="00A05809"/>
    <w:rsid w:val="00A10DCD"/>
    <w:rsid w:val="00A23839"/>
    <w:rsid w:val="00A24174"/>
    <w:rsid w:val="00A24653"/>
    <w:rsid w:val="00A24EC0"/>
    <w:rsid w:val="00A35981"/>
    <w:rsid w:val="00A5556F"/>
    <w:rsid w:val="00A601D3"/>
    <w:rsid w:val="00A60B7F"/>
    <w:rsid w:val="00A67027"/>
    <w:rsid w:val="00A678C1"/>
    <w:rsid w:val="00A83BD2"/>
    <w:rsid w:val="00A854EF"/>
    <w:rsid w:val="00A85CE4"/>
    <w:rsid w:val="00A865E3"/>
    <w:rsid w:val="00A86CBB"/>
    <w:rsid w:val="00A93B5E"/>
    <w:rsid w:val="00AA4ECC"/>
    <w:rsid w:val="00AB0970"/>
    <w:rsid w:val="00AB131C"/>
    <w:rsid w:val="00AB19A5"/>
    <w:rsid w:val="00AB2FD0"/>
    <w:rsid w:val="00AB490A"/>
    <w:rsid w:val="00AB78C4"/>
    <w:rsid w:val="00AC571A"/>
    <w:rsid w:val="00AD168B"/>
    <w:rsid w:val="00AD24A9"/>
    <w:rsid w:val="00AD2945"/>
    <w:rsid w:val="00AD64EA"/>
    <w:rsid w:val="00AD6A14"/>
    <w:rsid w:val="00AE5CDD"/>
    <w:rsid w:val="00AE7233"/>
    <w:rsid w:val="00AF0284"/>
    <w:rsid w:val="00AF40D3"/>
    <w:rsid w:val="00AF5410"/>
    <w:rsid w:val="00B01FF8"/>
    <w:rsid w:val="00B11804"/>
    <w:rsid w:val="00B14453"/>
    <w:rsid w:val="00B154BD"/>
    <w:rsid w:val="00B20C8D"/>
    <w:rsid w:val="00B215CC"/>
    <w:rsid w:val="00B23123"/>
    <w:rsid w:val="00B270DB"/>
    <w:rsid w:val="00B32689"/>
    <w:rsid w:val="00B56516"/>
    <w:rsid w:val="00B66B83"/>
    <w:rsid w:val="00B72BC7"/>
    <w:rsid w:val="00B85FC1"/>
    <w:rsid w:val="00B92F4A"/>
    <w:rsid w:val="00B942D0"/>
    <w:rsid w:val="00B96D6A"/>
    <w:rsid w:val="00BA229D"/>
    <w:rsid w:val="00BB2B2E"/>
    <w:rsid w:val="00BB6BAD"/>
    <w:rsid w:val="00BC061C"/>
    <w:rsid w:val="00BD5FEC"/>
    <w:rsid w:val="00BD725A"/>
    <w:rsid w:val="00BD7FE4"/>
    <w:rsid w:val="00BE375E"/>
    <w:rsid w:val="00BE5CD2"/>
    <w:rsid w:val="00BE5E2F"/>
    <w:rsid w:val="00BF1C4F"/>
    <w:rsid w:val="00BF2009"/>
    <w:rsid w:val="00BF238B"/>
    <w:rsid w:val="00BF671F"/>
    <w:rsid w:val="00BF67AE"/>
    <w:rsid w:val="00C06AD0"/>
    <w:rsid w:val="00C06C51"/>
    <w:rsid w:val="00C12D5D"/>
    <w:rsid w:val="00C14880"/>
    <w:rsid w:val="00C14F73"/>
    <w:rsid w:val="00C270F9"/>
    <w:rsid w:val="00C30A10"/>
    <w:rsid w:val="00C31FFB"/>
    <w:rsid w:val="00C334AB"/>
    <w:rsid w:val="00C4784D"/>
    <w:rsid w:val="00C50404"/>
    <w:rsid w:val="00C506D7"/>
    <w:rsid w:val="00C50B5E"/>
    <w:rsid w:val="00C51A41"/>
    <w:rsid w:val="00C544A3"/>
    <w:rsid w:val="00C5673D"/>
    <w:rsid w:val="00C630F3"/>
    <w:rsid w:val="00C6385C"/>
    <w:rsid w:val="00C67EA1"/>
    <w:rsid w:val="00C71349"/>
    <w:rsid w:val="00C7398A"/>
    <w:rsid w:val="00C93421"/>
    <w:rsid w:val="00C93622"/>
    <w:rsid w:val="00CA4535"/>
    <w:rsid w:val="00CB0D4E"/>
    <w:rsid w:val="00CB202D"/>
    <w:rsid w:val="00CB20F3"/>
    <w:rsid w:val="00CB34F7"/>
    <w:rsid w:val="00CB3EF3"/>
    <w:rsid w:val="00CC4D04"/>
    <w:rsid w:val="00CD2BE7"/>
    <w:rsid w:val="00CD34C5"/>
    <w:rsid w:val="00CD4FC7"/>
    <w:rsid w:val="00CD639D"/>
    <w:rsid w:val="00CD6452"/>
    <w:rsid w:val="00CE084F"/>
    <w:rsid w:val="00CE22B3"/>
    <w:rsid w:val="00CE39A3"/>
    <w:rsid w:val="00CE4702"/>
    <w:rsid w:val="00CF00BB"/>
    <w:rsid w:val="00CF38EC"/>
    <w:rsid w:val="00CF3F6C"/>
    <w:rsid w:val="00D06D60"/>
    <w:rsid w:val="00D06F32"/>
    <w:rsid w:val="00D114CF"/>
    <w:rsid w:val="00D125A6"/>
    <w:rsid w:val="00D14026"/>
    <w:rsid w:val="00D16130"/>
    <w:rsid w:val="00D16305"/>
    <w:rsid w:val="00D221C4"/>
    <w:rsid w:val="00D256A1"/>
    <w:rsid w:val="00D25C74"/>
    <w:rsid w:val="00D311F2"/>
    <w:rsid w:val="00D34857"/>
    <w:rsid w:val="00D372E3"/>
    <w:rsid w:val="00D4019B"/>
    <w:rsid w:val="00D4484E"/>
    <w:rsid w:val="00D4797E"/>
    <w:rsid w:val="00D516C6"/>
    <w:rsid w:val="00D54619"/>
    <w:rsid w:val="00D629FF"/>
    <w:rsid w:val="00D632A6"/>
    <w:rsid w:val="00D70D92"/>
    <w:rsid w:val="00D764FD"/>
    <w:rsid w:val="00D77107"/>
    <w:rsid w:val="00D7757B"/>
    <w:rsid w:val="00D77C2E"/>
    <w:rsid w:val="00D841BE"/>
    <w:rsid w:val="00D878AB"/>
    <w:rsid w:val="00D95D78"/>
    <w:rsid w:val="00DA2D17"/>
    <w:rsid w:val="00DA377B"/>
    <w:rsid w:val="00DA5B26"/>
    <w:rsid w:val="00DB39D7"/>
    <w:rsid w:val="00DC0258"/>
    <w:rsid w:val="00DC5B95"/>
    <w:rsid w:val="00DD1EA5"/>
    <w:rsid w:val="00DD258D"/>
    <w:rsid w:val="00DD4C89"/>
    <w:rsid w:val="00DD7115"/>
    <w:rsid w:val="00DD786D"/>
    <w:rsid w:val="00DD78EA"/>
    <w:rsid w:val="00DE2DD1"/>
    <w:rsid w:val="00DE2FCE"/>
    <w:rsid w:val="00DE4058"/>
    <w:rsid w:val="00DE577D"/>
    <w:rsid w:val="00DF0C2B"/>
    <w:rsid w:val="00DF1751"/>
    <w:rsid w:val="00E154B9"/>
    <w:rsid w:val="00E16E5B"/>
    <w:rsid w:val="00E2207B"/>
    <w:rsid w:val="00E22147"/>
    <w:rsid w:val="00E2302D"/>
    <w:rsid w:val="00E24EEC"/>
    <w:rsid w:val="00E250CB"/>
    <w:rsid w:val="00E27BEC"/>
    <w:rsid w:val="00E300E7"/>
    <w:rsid w:val="00E33D75"/>
    <w:rsid w:val="00E34306"/>
    <w:rsid w:val="00E40F08"/>
    <w:rsid w:val="00E41468"/>
    <w:rsid w:val="00E53F57"/>
    <w:rsid w:val="00E576F6"/>
    <w:rsid w:val="00E642F4"/>
    <w:rsid w:val="00E64723"/>
    <w:rsid w:val="00E67A1C"/>
    <w:rsid w:val="00E728A1"/>
    <w:rsid w:val="00E7642C"/>
    <w:rsid w:val="00E81866"/>
    <w:rsid w:val="00E87B04"/>
    <w:rsid w:val="00E90A1A"/>
    <w:rsid w:val="00E90BAB"/>
    <w:rsid w:val="00E9127C"/>
    <w:rsid w:val="00E93175"/>
    <w:rsid w:val="00E94A73"/>
    <w:rsid w:val="00EA4CE8"/>
    <w:rsid w:val="00EA6BE8"/>
    <w:rsid w:val="00EA7F9C"/>
    <w:rsid w:val="00EB031E"/>
    <w:rsid w:val="00EC1E44"/>
    <w:rsid w:val="00EC7E80"/>
    <w:rsid w:val="00ED4BAF"/>
    <w:rsid w:val="00ED67FB"/>
    <w:rsid w:val="00ED7B7E"/>
    <w:rsid w:val="00EE712A"/>
    <w:rsid w:val="00EF5880"/>
    <w:rsid w:val="00F01519"/>
    <w:rsid w:val="00F1532D"/>
    <w:rsid w:val="00F20AE4"/>
    <w:rsid w:val="00F20EB9"/>
    <w:rsid w:val="00F23051"/>
    <w:rsid w:val="00F24B87"/>
    <w:rsid w:val="00F266D5"/>
    <w:rsid w:val="00F352AD"/>
    <w:rsid w:val="00F35731"/>
    <w:rsid w:val="00F35D0E"/>
    <w:rsid w:val="00F36160"/>
    <w:rsid w:val="00F426DE"/>
    <w:rsid w:val="00F47F7C"/>
    <w:rsid w:val="00F51034"/>
    <w:rsid w:val="00F533E7"/>
    <w:rsid w:val="00F5361A"/>
    <w:rsid w:val="00F644C4"/>
    <w:rsid w:val="00F651D9"/>
    <w:rsid w:val="00F725F3"/>
    <w:rsid w:val="00F734DB"/>
    <w:rsid w:val="00F8489A"/>
    <w:rsid w:val="00F84963"/>
    <w:rsid w:val="00F851E7"/>
    <w:rsid w:val="00F867D1"/>
    <w:rsid w:val="00F90FB6"/>
    <w:rsid w:val="00F9152A"/>
    <w:rsid w:val="00F939C6"/>
    <w:rsid w:val="00F95B95"/>
    <w:rsid w:val="00F97C24"/>
    <w:rsid w:val="00FA15FA"/>
    <w:rsid w:val="00FC0268"/>
    <w:rsid w:val="00FC4BA2"/>
    <w:rsid w:val="00FD0A56"/>
    <w:rsid w:val="00FD3A2E"/>
    <w:rsid w:val="00FD62A0"/>
    <w:rsid w:val="00FE0078"/>
    <w:rsid w:val="00FE1442"/>
    <w:rsid w:val="00FF50F0"/>
    <w:rsid w:val="00FF6A9E"/>
    <w:rsid w:val="015B0AF3"/>
    <w:rsid w:val="024F78C5"/>
    <w:rsid w:val="02B67736"/>
    <w:rsid w:val="03A95481"/>
    <w:rsid w:val="03D46515"/>
    <w:rsid w:val="04093AC2"/>
    <w:rsid w:val="0429511F"/>
    <w:rsid w:val="04C37AE7"/>
    <w:rsid w:val="05163738"/>
    <w:rsid w:val="05384E9A"/>
    <w:rsid w:val="05833D01"/>
    <w:rsid w:val="059E4DFA"/>
    <w:rsid w:val="06AB0516"/>
    <w:rsid w:val="06CE64F8"/>
    <w:rsid w:val="07393AFF"/>
    <w:rsid w:val="07A53250"/>
    <w:rsid w:val="07EA1504"/>
    <w:rsid w:val="08551D0A"/>
    <w:rsid w:val="0884765B"/>
    <w:rsid w:val="088A52C1"/>
    <w:rsid w:val="09E626C7"/>
    <w:rsid w:val="0A4779D2"/>
    <w:rsid w:val="0AD92359"/>
    <w:rsid w:val="0AED76D3"/>
    <w:rsid w:val="0B2D3AE6"/>
    <w:rsid w:val="0B6031FC"/>
    <w:rsid w:val="0CEC4EA3"/>
    <w:rsid w:val="0CFE76E8"/>
    <w:rsid w:val="0D65366E"/>
    <w:rsid w:val="0DC1201A"/>
    <w:rsid w:val="0F305DBF"/>
    <w:rsid w:val="118A36A5"/>
    <w:rsid w:val="11904E02"/>
    <w:rsid w:val="11EB32B8"/>
    <w:rsid w:val="13651E16"/>
    <w:rsid w:val="13A345B1"/>
    <w:rsid w:val="14410B6C"/>
    <w:rsid w:val="14962E49"/>
    <w:rsid w:val="14B66506"/>
    <w:rsid w:val="179C5A2D"/>
    <w:rsid w:val="17F241F3"/>
    <w:rsid w:val="195A0677"/>
    <w:rsid w:val="195C098B"/>
    <w:rsid w:val="198E3966"/>
    <w:rsid w:val="19903B9C"/>
    <w:rsid w:val="19E06413"/>
    <w:rsid w:val="1AEB48BE"/>
    <w:rsid w:val="1B673C6B"/>
    <w:rsid w:val="1BBA4186"/>
    <w:rsid w:val="1C11399B"/>
    <w:rsid w:val="1C6C5387"/>
    <w:rsid w:val="1DD2430E"/>
    <w:rsid w:val="1DE35551"/>
    <w:rsid w:val="1F5F5B57"/>
    <w:rsid w:val="1F9F05B9"/>
    <w:rsid w:val="1FBD423A"/>
    <w:rsid w:val="202B2F99"/>
    <w:rsid w:val="2035424E"/>
    <w:rsid w:val="20D14950"/>
    <w:rsid w:val="216F5518"/>
    <w:rsid w:val="217531ED"/>
    <w:rsid w:val="21C12598"/>
    <w:rsid w:val="22317B58"/>
    <w:rsid w:val="22612193"/>
    <w:rsid w:val="227842C1"/>
    <w:rsid w:val="227906C1"/>
    <w:rsid w:val="233949DB"/>
    <w:rsid w:val="23A9221A"/>
    <w:rsid w:val="23CC4BC4"/>
    <w:rsid w:val="24363948"/>
    <w:rsid w:val="2438667E"/>
    <w:rsid w:val="25B30F66"/>
    <w:rsid w:val="264A6D23"/>
    <w:rsid w:val="267333F7"/>
    <w:rsid w:val="26F91E23"/>
    <w:rsid w:val="27397975"/>
    <w:rsid w:val="284E16F8"/>
    <w:rsid w:val="290F05CE"/>
    <w:rsid w:val="298136EE"/>
    <w:rsid w:val="29B34B76"/>
    <w:rsid w:val="2A0E78FC"/>
    <w:rsid w:val="2A300F38"/>
    <w:rsid w:val="2AAE332B"/>
    <w:rsid w:val="2AC1193F"/>
    <w:rsid w:val="2B385CD1"/>
    <w:rsid w:val="2B9B4F7E"/>
    <w:rsid w:val="2BC71D10"/>
    <w:rsid w:val="2C284514"/>
    <w:rsid w:val="2C895D40"/>
    <w:rsid w:val="2CE57095"/>
    <w:rsid w:val="2D832C7A"/>
    <w:rsid w:val="2E334449"/>
    <w:rsid w:val="2E8A07E2"/>
    <w:rsid w:val="2FBD66FB"/>
    <w:rsid w:val="2FE36AC0"/>
    <w:rsid w:val="3118656C"/>
    <w:rsid w:val="312F640A"/>
    <w:rsid w:val="31E842A9"/>
    <w:rsid w:val="320D58B6"/>
    <w:rsid w:val="32441873"/>
    <w:rsid w:val="32C05DEB"/>
    <w:rsid w:val="33A11598"/>
    <w:rsid w:val="343E6181"/>
    <w:rsid w:val="345F5F64"/>
    <w:rsid w:val="34F41D7A"/>
    <w:rsid w:val="35010EF7"/>
    <w:rsid w:val="350D64C4"/>
    <w:rsid w:val="360E3678"/>
    <w:rsid w:val="379E6321"/>
    <w:rsid w:val="38472D87"/>
    <w:rsid w:val="38C97F11"/>
    <w:rsid w:val="390626AC"/>
    <w:rsid w:val="39770934"/>
    <w:rsid w:val="3A3B6E12"/>
    <w:rsid w:val="3A5835F8"/>
    <w:rsid w:val="3C12363D"/>
    <w:rsid w:val="3C656516"/>
    <w:rsid w:val="3E10170D"/>
    <w:rsid w:val="3E59570F"/>
    <w:rsid w:val="3FEA07C5"/>
    <w:rsid w:val="410F64BA"/>
    <w:rsid w:val="419F27D3"/>
    <w:rsid w:val="41CD080B"/>
    <w:rsid w:val="427F337A"/>
    <w:rsid w:val="42FD4C28"/>
    <w:rsid w:val="431B6DB4"/>
    <w:rsid w:val="43886DBC"/>
    <w:rsid w:val="443D42AA"/>
    <w:rsid w:val="44792A58"/>
    <w:rsid w:val="45332380"/>
    <w:rsid w:val="457678DF"/>
    <w:rsid w:val="45EC1DF0"/>
    <w:rsid w:val="46355B0C"/>
    <w:rsid w:val="46403551"/>
    <w:rsid w:val="46D47DE6"/>
    <w:rsid w:val="48063283"/>
    <w:rsid w:val="49442796"/>
    <w:rsid w:val="496C12CB"/>
    <w:rsid w:val="49925E33"/>
    <w:rsid w:val="49BF187E"/>
    <w:rsid w:val="4A3E013A"/>
    <w:rsid w:val="4A5B2665"/>
    <w:rsid w:val="4AB15572"/>
    <w:rsid w:val="4AD04731"/>
    <w:rsid w:val="4ADA3EB6"/>
    <w:rsid w:val="4D7D6ABB"/>
    <w:rsid w:val="4DD017FD"/>
    <w:rsid w:val="4E6A3E7C"/>
    <w:rsid w:val="4E8B5F42"/>
    <w:rsid w:val="50150008"/>
    <w:rsid w:val="50515794"/>
    <w:rsid w:val="50C67195"/>
    <w:rsid w:val="510F4ACC"/>
    <w:rsid w:val="518525C4"/>
    <w:rsid w:val="519B5F3D"/>
    <w:rsid w:val="53481B23"/>
    <w:rsid w:val="541B356C"/>
    <w:rsid w:val="5491276D"/>
    <w:rsid w:val="549A7C38"/>
    <w:rsid w:val="54EC1FFC"/>
    <w:rsid w:val="54ED6F3B"/>
    <w:rsid w:val="550F63C8"/>
    <w:rsid w:val="5615549E"/>
    <w:rsid w:val="56C90BCA"/>
    <w:rsid w:val="56FB277C"/>
    <w:rsid w:val="5733070D"/>
    <w:rsid w:val="57D5103E"/>
    <w:rsid w:val="5929179B"/>
    <w:rsid w:val="593A59F7"/>
    <w:rsid w:val="5A423AA1"/>
    <w:rsid w:val="5A442552"/>
    <w:rsid w:val="5A5E0BBC"/>
    <w:rsid w:val="5AD30A98"/>
    <w:rsid w:val="5B292F37"/>
    <w:rsid w:val="5BB11780"/>
    <w:rsid w:val="5C194323"/>
    <w:rsid w:val="5C261850"/>
    <w:rsid w:val="5C667E19"/>
    <w:rsid w:val="5DA56D4A"/>
    <w:rsid w:val="5EE0785E"/>
    <w:rsid w:val="5F2B0195"/>
    <w:rsid w:val="607E0211"/>
    <w:rsid w:val="6102105B"/>
    <w:rsid w:val="61267413"/>
    <w:rsid w:val="616057C2"/>
    <w:rsid w:val="61B46642"/>
    <w:rsid w:val="62373C13"/>
    <w:rsid w:val="629C7AE1"/>
    <w:rsid w:val="6449612B"/>
    <w:rsid w:val="64F711DE"/>
    <w:rsid w:val="656654D1"/>
    <w:rsid w:val="656D2504"/>
    <w:rsid w:val="66400323"/>
    <w:rsid w:val="666C548F"/>
    <w:rsid w:val="6687618D"/>
    <w:rsid w:val="66E862A2"/>
    <w:rsid w:val="66F313D8"/>
    <w:rsid w:val="6754181F"/>
    <w:rsid w:val="67BE794A"/>
    <w:rsid w:val="67FA0E1E"/>
    <w:rsid w:val="685D57C4"/>
    <w:rsid w:val="69AA31E3"/>
    <w:rsid w:val="6B696003"/>
    <w:rsid w:val="6B905B1B"/>
    <w:rsid w:val="6BEC55EB"/>
    <w:rsid w:val="6D5E503D"/>
    <w:rsid w:val="6DD373CD"/>
    <w:rsid w:val="6EE94941"/>
    <w:rsid w:val="6FF16793"/>
    <w:rsid w:val="702B12A2"/>
    <w:rsid w:val="709D6BBF"/>
    <w:rsid w:val="71D85595"/>
    <w:rsid w:val="72266410"/>
    <w:rsid w:val="72494744"/>
    <w:rsid w:val="72746B01"/>
    <w:rsid w:val="7412583A"/>
    <w:rsid w:val="74ED2749"/>
    <w:rsid w:val="751E5904"/>
    <w:rsid w:val="752E5035"/>
    <w:rsid w:val="76363E08"/>
    <w:rsid w:val="765161D5"/>
    <w:rsid w:val="76F63B5D"/>
    <w:rsid w:val="78CA06A5"/>
    <w:rsid w:val="78DB1806"/>
    <w:rsid w:val="7930652B"/>
    <w:rsid w:val="7BA32779"/>
    <w:rsid w:val="7D6E0C5F"/>
    <w:rsid w:val="7E830620"/>
    <w:rsid w:val="7EBF1677"/>
    <w:rsid w:val="7F4A0F5B"/>
    <w:rsid w:val="7F8E3919"/>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qFormat="1" w:unhideWhenUsed="0" w:uiPriority="0" w:name="footnote text"/>
    <w:lsdException w:qFormat="1"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46"/>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3">
    <w:name w:val="heading 2"/>
    <w:basedOn w:val="1"/>
    <w:next w:val="1"/>
    <w:link w:val="47"/>
    <w:qFormat/>
    <w:uiPriority w:val="0"/>
    <w:pPr>
      <w:keepNext/>
      <w:keepLines/>
      <w:spacing w:before="260" w:after="260" w:line="416" w:lineRule="auto"/>
      <w:outlineLvl w:val="1"/>
    </w:pPr>
    <w:rPr>
      <w:rFonts w:ascii="Arial" w:hAnsi="Arial" w:eastAsia="黑体" w:cs="Times New Roman"/>
      <w:b/>
      <w:bCs/>
      <w:sz w:val="32"/>
      <w:szCs w:val="32"/>
    </w:rPr>
  </w:style>
  <w:style w:type="paragraph" w:styleId="4">
    <w:name w:val="heading 3"/>
    <w:basedOn w:val="1"/>
    <w:next w:val="1"/>
    <w:link w:val="48"/>
    <w:qFormat/>
    <w:uiPriority w:val="0"/>
    <w:pPr>
      <w:keepNext/>
      <w:keepLines/>
      <w:spacing w:before="260" w:after="260" w:line="416" w:lineRule="auto"/>
      <w:outlineLvl w:val="2"/>
    </w:pPr>
    <w:rPr>
      <w:rFonts w:ascii="Times New Roman" w:hAnsi="Times New Roman" w:eastAsia="宋体" w:cs="Times New Roman"/>
      <w:b/>
      <w:bCs/>
      <w:sz w:val="32"/>
      <w:szCs w:val="32"/>
    </w:rPr>
  </w:style>
  <w:style w:type="paragraph" w:styleId="5">
    <w:name w:val="heading 4"/>
    <w:basedOn w:val="1"/>
    <w:next w:val="1"/>
    <w:link w:val="49"/>
    <w:qFormat/>
    <w:uiPriority w:val="0"/>
    <w:pPr>
      <w:keepNext/>
      <w:keepLines/>
      <w:spacing w:before="280" w:after="290" w:line="376" w:lineRule="auto"/>
      <w:outlineLvl w:val="3"/>
    </w:pPr>
    <w:rPr>
      <w:rFonts w:ascii="Arial" w:hAnsi="Arial" w:eastAsia="黑体" w:cs="Times New Roman"/>
      <w:b/>
      <w:bCs/>
      <w:sz w:val="28"/>
      <w:szCs w:val="28"/>
    </w:rPr>
  </w:style>
  <w:style w:type="paragraph" w:styleId="6">
    <w:name w:val="heading 5"/>
    <w:basedOn w:val="1"/>
    <w:next w:val="1"/>
    <w:link w:val="50"/>
    <w:qFormat/>
    <w:uiPriority w:val="0"/>
    <w:pPr>
      <w:keepNext/>
      <w:keepLines/>
      <w:spacing w:before="280" w:after="290" w:line="376" w:lineRule="auto"/>
      <w:outlineLvl w:val="4"/>
    </w:pPr>
    <w:rPr>
      <w:rFonts w:ascii="Times New Roman" w:hAnsi="Times New Roman" w:eastAsia="宋体" w:cs="Times New Roman"/>
      <w:b/>
      <w:bCs/>
      <w:sz w:val="28"/>
      <w:szCs w:val="28"/>
    </w:rPr>
  </w:style>
  <w:style w:type="paragraph" w:styleId="7">
    <w:name w:val="heading 6"/>
    <w:basedOn w:val="1"/>
    <w:next w:val="1"/>
    <w:link w:val="51"/>
    <w:qFormat/>
    <w:uiPriority w:val="0"/>
    <w:pPr>
      <w:keepNext/>
      <w:keepLines/>
      <w:spacing w:before="240" w:after="64" w:line="320" w:lineRule="auto"/>
      <w:outlineLvl w:val="5"/>
    </w:pPr>
    <w:rPr>
      <w:rFonts w:ascii="Arial" w:hAnsi="Arial" w:eastAsia="黑体" w:cs="Times New Roman"/>
      <w:b/>
      <w:bCs/>
      <w:sz w:val="24"/>
      <w:szCs w:val="24"/>
    </w:rPr>
  </w:style>
  <w:style w:type="paragraph" w:styleId="8">
    <w:name w:val="heading 7"/>
    <w:basedOn w:val="1"/>
    <w:next w:val="1"/>
    <w:link w:val="52"/>
    <w:qFormat/>
    <w:uiPriority w:val="0"/>
    <w:pPr>
      <w:keepNext/>
      <w:keepLines/>
      <w:spacing w:before="240" w:after="64" w:line="320" w:lineRule="auto"/>
      <w:outlineLvl w:val="6"/>
    </w:pPr>
    <w:rPr>
      <w:rFonts w:ascii="Times New Roman" w:hAnsi="Times New Roman" w:eastAsia="宋体" w:cs="Times New Roman"/>
      <w:b/>
      <w:bCs/>
      <w:sz w:val="24"/>
      <w:szCs w:val="24"/>
    </w:rPr>
  </w:style>
  <w:style w:type="paragraph" w:styleId="9">
    <w:name w:val="heading 8"/>
    <w:basedOn w:val="1"/>
    <w:next w:val="1"/>
    <w:link w:val="53"/>
    <w:qFormat/>
    <w:uiPriority w:val="0"/>
    <w:pPr>
      <w:keepNext/>
      <w:keepLines/>
      <w:spacing w:before="240" w:after="64" w:line="320" w:lineRule="auto"/>
      <w:outlineLvl w:val="7"/>
    </w:pPr>
    <w:rPr>
      <w:rFonts w:ascii="Arial" w:hAnsi="Arial" w:eastAsia="黑体" w:cs="Times New Roman"/>
      <w:sz w:val="24"/>
      <w:szCs w:val="24"/>
    </w:rPr>
  </w:style>
  <w:style w:type="paragraph" w:styleId="10">
    <w:name w:val="heading 9"/>
    <w:basedOn w:val="1"/>
    <w:next w:val="1"/>
    <w:link w:val="54"/>
    <w:qFormat/>
    <w:uiPriority w:val="0"/>
    <w:pPr>
      <w:keepNext/>
      <w:keepLines/>
      <w:spacing w:before="240" w:after="64" w:line="320" w:lineRule="auto"/>
      <w:outlineLvl w:val="8"/>
    </w:pPr>
    <w:rPr>
      <w:rFonts w:ascii="Arial" w:hAnsi="Arial" w:eastAsia="黑体" w:cs="Times New Roman"/>
      <w:szCs w:val="21"/>
    </w:rPr>
  </w:style>
  <w:style w:type="character" w:default="1" w:styleId="29">
    <w:name w:val="Default Paragraph Font"/>
    <w:unhideWhenUsed/>
    <w:qFormat/>
    <w:uiPriority w:val="1"/>
  </w:style>
  <w:style w:type="table" w:default="1" w:styleId="45">
    <w:name w:val="Normal Table"/>
    <w:unhideWhenUsed/>
    <w:qFormat/>
    <w:uiPriority w:val="99"/>
    <w:tblPr>
      <w:tblLayout w:type="fixed"/>
      <w:tblCellMar>
        <w:top w:w="0" w:type="dxa"/>
        <w:left w:w="108" w:type="dxa"/>
        <w:bottom w:w="0" w:type="dxa"/>
        <w:right w:w="108" w:type="dxa"/>
      </w:tblCellMar>
    </w:tblPr>
  </w:style>
  <w:style w:type="paragraph" w:styleId="11">
    <w:name w:val="annotation subject"/>
    <w:basedOn w:val="12"/>
    <w:next w:val="12"/>
    <w:link w:val="78"/>
    <w:qFormat/>
    <w:uiPriority w:val="0"/>
    <w:rPr>
      <w:b/>
      <w:bCs/>
      <w:szCs w:val="24"/>
    </w:rPr>
  </w:style>
  <w:style w:type="paragraph" w:styleId="12">
    <w:name w:val="annotation text"/>
    <w:basedOn w:val="1"/>
    <w:link w:val="79"/>
    <w:unhideWhenUsed/>
    <w:qFormat/>
    <w:uiPriority w:val="0"/>
    <w:pPr>
      <w:jc w:val="left"/>
    </w:pPr>
  </w:style>
  <w:style w:type="paragraph" w:styleId="13">
    <w:name w:val="Normal Indent"/>
    <w:basedOn w:val="1"/>
    <w:qFormat/>
    <w:uiPriority w:val="0"/>
    <w:pPr>
      <w:adjustRightInd w:val="0"/>
      <w:spacing w:line="315" w:lineRule="atLeast"/>
      <w:ind w:firstLine="420"/>
      <w:jc w:val="left"/>
      <w:textAlignment w:val="baseline"/>
    </w:pPr>
    <w:rPr>
      <w:rFonts w:ascii="宋体" w:hAnsi="Times New Roman" w:eastAsia="宋体" w:cs="Times New Roman"/>
      <w:kern w:val="0"/>
      <w:szCs w:val="21"/>
    </w:rPr>
  </w:style>
  <w:style w:type="paragraph" w:styleId="14">
    <w:name w:val="Document Map"/>
    <w:basedOn w:val="1"/>
    <w:link w:val="89"/>
    <w:semiHidden/>
    <w:qFormat/>
    <w:uiPriority w:val="0"/>
    <w:pPr>
      <w:shd w:val="clear" w:color="auto" w:fill="000080"/>
    </w:pPr>
    <w:rPr>
      <w:rFonts w:ascii="Times New Roman" w:hAnsi="Times New Roman" w:eastAsia="宋体" w:cs="Times New Roman"/>
      <w:szCs w:val="24"/>
    </w:rPr>
  </w:style>
  <w:style w:type="paragraph" w:styleId="15">
    <w:name w:val="Body Text"/>
    <w:basedOn w:val="1"/>
    <w:link w:val="66"/>
    <w:qFormat/>
    <w:uiPriority w:val="0"/>
    <w:pPr>
      <w:spacing w:after="120"/>
    </w:pPr>
    <w:rPr>
      <w:szCs w:val="24"/>
    </w:rPr>
  </w:style>
  <w:style w:type="paragraph" w:styleId="16">
    <w:name w:val="Body Text Indent"/>
    <w:basedOn w:val="1"/>
    <w:link w:val="82"/>
    <w:qFormat/>
    <w:uiPriority w:val="0"/>
    <w:pPr>
      <w:spacing w:line="400" w:lineRule="exact"/>
      <w:ind w:firstLine="570"/>
    </w:pPr>
    <w:rPr>
      <w:rFonts w:ascii="Times New Roman" w:hAnsi="Times New Roman" w:eastAsia="宋体" w:cs="Times New Roman"/>
      <w:sz w:val="24"/>
      <w:szCs w:val="24"/>
    </w:rPr>
  </w:style>
  <w:style w:type="paragraph" w:styleId="17">
    <w:name w:val="HTML Address"/>
    <w:basedOn w:val="1"/>
    <w:link w:val="97"/>
    <w:qFormat/>
    <w:uiPriority w:val="0"/>
    <w:rPr>
      <w:rFonts w:ascii="Times New Roman" w:hAnsi="Times New Roman" w:eastAsia="宋体" w:cs="Times New Roman"/>
      <w:i/>
      <w:iCs/>
      <w:szCs w:val="24"/>
    </w:rPr>
  </w:style>
  <w:style w:type="paragraph" w:styleId="18">
    <w:name w:val="Plain Text"/>
    <w:basedOn w:val="1"/>
    <w:link w:val="95"/>
    <w:qFormat/>
    <w:uiPriority w:val="0"/>
    <w:rPr>
      <w:rFonts w:ascii="宋体" w:hAnsi="Courier New" w:eastAsia="宋体" w:cs="Courier New"/>
      <w:szCs w:val="21"/>
    </w:rPr>
  </w:style>
  <w:style w:type="paragraph" w:styleId="19">
    <w:name w:val="Date"/>
    <w:basedOn w:val="1"/>
    <w:next w:val="1"/>
    <w:link w:val="86"/>
    <w:qFormat/>
    <w:uiPriority w:val="0"/>
    <w:pPr>
      <w:ind w:left="100" w:leftChars="2500"/>
    </w:pPr>
    <w:rPr>
      <w:rFonts w:ascii="Times New Roman" w:hAnsi="Times New Roman" w:eastAsia="宋体" w:cs="Times New Roman"/>
      <w:sz w:val="28"/>
      <w:szCs w:val="24"/>
    </w:rPr>
  </w:style>
  <w:style w:type="paragraph" w:styleId="20">
    <w:name w:val="Body Text Indent 2"/>
    <w:basedOn w:val="1"/>
    <w:link w:val="81"/>
    <w:qFormat/>
    <w:uiPriority w:val="0"/>
    <w:pPr>
      <w:spacing w:after="120" w:line="480" w:lineRule="auto"/>
      <w:ind w:left="420" w:leftChars="200"/>
    </w:pPr>
    <w:rPr>
      <w:rFonts w:ascii="Times New Roman" w:hAnsi="Times New Roman" w:eastAsia="宋体" w:cs="Times New Roman"/>
      <w:szCs w:val="24"/>
    </w:rPr>
  </w:style>
  <w:style w:type="paragraph" w:styleId="21">
    <w:name w:val="Balloon Text"/>
    <w:basedOn w:val="1"/>
    <w:link w:val="65"/>
    <w:unhideWhenUsed/>
    <w:qFormat/>
    <w:uiPriority w:val="0"/>
    <w:rPr>
      <w:rFonts w:ascii="Calibri" w:hAnsi="Calibri" w:eastAsia="宋体"/>
      <w:sz w:val="16"/>
      <w:szCs w:val="16"/>
    </w:rPr>
  </w:style>
  <w:style w:type="paragraph" w:styleId="22">
    <w:name w:val="footer"/>
    <w:basedOn w:val="1"/>
    <w:link w:val="75"/>
    <w:qFormat/>
    <w:uiPriority w:val="99"/>
    <w:pPr>
      <w:tabs>
        <w:tab w:val="center" w:pos="4153"/>
        <w:tab w:val="right" w:pos="8306"/>
      </w:tabs>
      <w:snapToGrid w:val="0"/>
      <w:ind w:right="210" w:rightChars="100"/>
      <w:jc w:val="right"/>
    </w:pPr>
    <w:rPr>
      <w:rFonts w:eastAsia="宋体"/>
      <w:sz w:val="18"/>
      <w:szCs w:val="18"/>
    </w:rPr>
  </w:style>
  <w:style w:type="paragraph" w:styleId="23">
    <w:name w:val="header"/>
    <w:basedOn w:val="1"/>
    <w:link w:val="76"/>
    <w:qFormat/>
    <w:uiPriority w:val="0"/>
    <w:pPr>
      <w:numPr>
        <w:ilvl w:val="6"/>
        <w:numId w:val="1"/>
      </w:numPr>
      <w:pBdr>
        <w:bottom w:val="single" w:color="auto" w:sz="6" w:space="1"/>
      </w:pBdr>
      <w:tabs>
        <w:tab w:val="center" w:pos="4153"/>
        <w:tab w:val="right" w:pos="8306"/>
      </w:tabs>
      <w:snapToGrid w:val="0"/>
      <w:jc w:val="center"/>
    </w:pPr>
    <w:rPr>
      <w:sz w:val="18"/>
      <w:szCs w:val="18"/>
    </w:rPr>
  </w:style>
  <w:style w:type="paragraph" w:styleId="24">
    <w:name w:val="toc 1"/>
    <w:next w:val="1"/>
    <w:qFormat/>
    <w:uiPriority w:val="39"/>
    <w:pPr>
      <w:jc w:val="both"/>
    </w:pPr>
    <w:rPr>
      <w:rFonts w:ascii="宋体" w:hAnsi="Times New Roman" w:eastAsia="宋体" w:cs="Times New Roman"/>
      <w:sz w:val="21"/>
      <w:lang w:val="en-US" w:eastAsia="zh-CN" w:bidi="ar-SA"/>
    </w:rPr>
  </w:style>
  <w:style w:type="paragraph" w:styleId="25">
    <w:name w:val="footnote text"/>
    <w:basedOn w:val="1"/>
    <w:link w:val="103"/>
    <w:semiHidden/>
    <w:qFormat/>
    <w:uiPriority w:val="0"/>
    <w:pPr>
      <w:snapToGrid w:val="0"/>
      <w:jc w:val="left"/>
    </w:pPr>
    <w:rPr>
      <w:rFonts w:ascii="Times New Roman" w:hAnsi="Times New Roman" w:eastAsia="宋体" w:cs="Times New Roman"/>
      <w:sz w:val="18"/>
      <w:szCs w:val="18"/>
    </w:rPr>
  </w:style>
  <w:style w:type="paragraph" w:styleId="26">
    <w:name w:val="HTML Preformatted"/>
    <w:basedOn w:val="1"/>
    <w:link w:val="113"/>
    <w:qFormat/>
    <w:uiPriority w:val="0"/>
    <w:rPr>
      <w:rFonts w:ascii="Courier New" w:hAnsi="Courier New" w:eastAsia="宋体" w:cs="Courier New"/>
      <w:sz w:val="20"/>
      <w:szCs w:val="20"/>
    </w:rPr>
  </w:style>
  <w:style w:type="paragraph" w:styleId="27">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28">
    <w:name w:val="Title"/>
    <w:basedOn w:val="1"/>
    <w:link w:val="114"/>
    <w:qFormat/>
    <w:uiPriority w:val="0"/>
    <w:pPr>
      <w:spacing w:before="240" w:after="60"/>
      <w:jc w:val="center"/>
      <w:outlineLvl w:val="0"/>
    </w:pPr>
    <w:rPr>
      <w:rFonts w:ascii="Arial" w:hAnsi="Arial" w:eastAsia="宋体" w:cs="Arial"/>
      <w:b/>
      <w:bCs/>
      <w:sz w:val="32"/>
      <w:szCs w:val="32"/>
    </w:rPr>
  </w:style>
  <w:style w:type="character" w:styleId="30">
    <w:name w:val="Strong"/>
    <w:qFormat/>
    <w:uiPriority w:val="22"/>
    <w:rPr>
      <w:b/>
      <w:bCs/>
    </w:rPr>
  </w:style>
  <w:style w:type="character" w:styleId="31">
    <w:name w:val="page number"/>
    <w:qFormat/>
    <w:uiPriority w:val="0"/>
    <w:rPr>
      <w:rFonts w:ascii="Times New Roman" w:hAnsi="Times New Roman" w:eastAsia="宋体"/>
      <w:sz w:val="18"/>
    </w:rPr>
  </w:style>
  <w:style w:type="character" w:styleId="32">
    <w:name w:val="FollowedHyperlink"/>
    <w:qFormat/>
    <w:uiPriority w:val="0"/>
    <w:rPr>
      <w:color w:val="800080"/>
      <w:u w:val="single"/>
    </w:rPr>
  </w:style>
  <w:style w:type="character" w:styleId="33">
    <w:name w:val="Emphasis"/>
    <w:basedOn w:val="29"/>
    <w:qFormat/>
    <w:uiPriority w:val="20"/>
    <w:rPr>
      <w:color w:val="CC0000"/>
    </w:rPr>
  </w:style>
  <w:style w:type="character" w:styleId="34">
    <w:name w:val="HTML Definition"/>
    <w:qFormat/>
    <w:uiPriority w:val="0"/>
    <w:rPr>
      <w:i/>
      <w:iCs/>
    </w:rPr>
  </w:style>
  <w:style w:type="character" w:styleId="35">
    <w:name w:val="HTML Typewriter"/>
    <w:qFormat/>
    <w:uiPriority w:val="0"/>
    <w:rPr>
      <w:rFonts w:ascii="Courier New" w:hAnsi="Courier New"/>
      <w:sz w:val="20"/>
      <w:szCs w:val="20"/>
    </w:rPr>
  </w:style>
  <w:style w:type="character" w:styleId="36">
    <w:name w:val="HTML Acronym"/>
    <w:basedOn w:val="29"/>
    <w:qFormat/>
    <w:uiPriority w:val="0"/>
  </w:style>
  <w:style w:type="character" w:styleId="37">
    <w:name w:val="HTML Variable"/>
    <w:qFormat/>
    <w:uiPriority w:val="0"/>
    <w:rPr>
      <w:i/>
      <w:iCs/>
    </w:rPr>
  </w:style>
  <w:style w:type="character" w:styleId="38">
    <w:name w:val="Hyperlink"/>
    <w:qFormat/>
    <w:uiPriority w:val="99"/>
    <w:rPr>
      <w:rFonts w:ascii="Times New Roman" w:hAnsi="Times New Roman" w:eastAsia="宋体"/>
      <w:color w:val="auto"/>
      <w:spacing w:val="0"/>
      <w:w w:val="100"/>
      <w:position w:val="0"/>
      <w:sz w:val="21"/>
      <w:u w:val="none"/>
      <w:vertAlign w:val="baseline"/>
    </w:rPr>
  </w:style>
  <w:style w:type="character" w:styleId="39">
    <w:name w:val="HTML Code"/>
    <w:basedOn w:val="29"/>
    <w:qFormat/>
    <w:uiPriority w:val="0"/>
    <w:rPr>
      <w:rFonts w:ascii="Courier New" w:hAnsi="Courier New"/>
      <w:sz w:val="20"/>
      <w:szCs w:val="20"/>
    </w:rPr>
  </w:style>
  <w:style w:type="character" w:styleId="40">
    <w:name w:val="annotation reference"/>
    <w:qFormat/>
    <w:uiPriority w:val="0"/>
    <w:rPr>
      <w:sz w:val="21"/>
      <w:szCs w:val="21"/>
    </w:rPr>
  </w:style>
  <w:style w:type="character" w:styleId="41">
    <w:name w:val="HTML Cite"/>
    <w:qFormat/>
    <w:uiPriority w:val="0"/>
    <w:rPr>
      <w:i/>
      <w:iCs/>
    </w:rPr>
  </w:style>
  <w:style w:type="character" w:styleId="42">
    <w:name w:val="footnote reference"/>
    <w:semiHidden/>
    <w:qFormat/>
    <w:uiPriority w:val="0"/>
    <w:rPr>
      <w:vertAlign w:val="superscript"/>
    </w:rPr>
  </w:style>
  <w:style w:type="character" w:styleId="43">
    <w:name w:val="HTML Keyboard"/>
    <w:qFormat/>
    <w:uiPriority w:val="0"/>
    <w:rPr>
      <w:rFonts w:ascii="Courier New" w:hAnsi="Courier New"/>
      <w:sz w:val="20"/>
      <w:szCs w:val="20"/>
    </w:rPr>
  </w:style>
  <w:style w:type="character" w:styleId="44">
    <w:name w:val="HTML Sample"/>
    <w:qFormat/>
    <w:uiPriority w:val="0"/>
    <w:rPr>
      <w:rFonts w:ascii="Courier New" w:hAnsi="Courier New"/>
    </w:rPr>
  </w:style>
  <w:style w:type="character" w:customStyle="1" w:styleId="46">
    <w:name w:val="标题 1 Char"/>
    <w:link w:val="2"/>
    <w:qFormat/>
    <w:uiPriority w:val="0"/>
    <w:rPr>
      <w:rFonts w:ascii="Times New Roman" w:hAnsi="Times New Roman" w:eastAsia="宋体" w:cs="Times New Roman"/>
      <w:b/>
      <w:bCs/>
      <w:kern w:val="44"/>
      <w:sz w:val="44"/>
      <w:szCs w:val="44"/>
    </w:rPr>
  </w:style>
  <w:style w:type="character" w:customStyle="1" w:styleId="47">
    <w:name w:val="标题 2 Char"/>
    <w:basedOn w:val="29"/>
    <w:link w:val="3"/>
    <w:qFormat/>
    <w:uiPriority w:val="0"/>
    <w:rPr>
      <w:rFonts w:ascii="Arial" w:hAnsi="Arial" w:eastAsia="黑体" w:cs="Times New Roman"/>
      <w:b/>
      <w:bCs/>
      <w:sz w:val="32"/>
      <w:szCs w:val="32"/>
    </w:rPr>
  </w:style>
  <w:style w:type="character" w:customStyle="1" w:styleId="48">
    <w:name w:val="标题 3 Char"/>
    <w:basedOn w:val="29"/>
    <w:link w:val="4"/>
    <w:qFormat/>
    <w:uiPriority w:val="0"/>
    <w:rPr>
      <w:rFonts w:ascii="Times New Roman" w:hAnsi="Times New Roman" w:eastAsia="宋体" w:cs="Times New Roman"/>
      <w:b/>
      <w:bCs/>
      <w:sz w:val="32"/>
      <w:szCs w:val="32"/>
    </w:rPr>
  </w:style>
  <w:style w:type="character" w:customStyle="1" w:styleId="49">
    <w:name w:val="标题 4 Char"/>
    <w:basedOn w:val="29"/>
    <w:link w:val="5"/>
    <w:qFormat/>
    <w:uiPriority w:val="0"/>
    <w:rPr>
      <w:rFonts w:ascii="Arial" w:hAnsi="Arial" w:eastAsia="黑体" w:cs="Times New Roman"/>
      <w:b/>
      <w:bCs/>
      <w:sz w:val="28"/>
      <w:szCs w:val="28"/>
    </w:rPr>
  </w:style>
  <w:style w:type="character" w:customStyle="1" w:styleId="50">
    <w:name w:val="标题 5 Char"/>
    <w:basedOn w:val="29"/>
    <w:link w:val="6"/>
    <w:qFormat/>
    <w:uiPriority w:val="0"/>
    <w:rPr>
      <w:rFonts w:ascii="Times New Roman" w:hAnsi="Times New Roman" w:eastAsia="宋体" w:cs="Times New Roman"/>
      <w:b/>
      <w:bCs/>
      <w:sz w:val="28"/>
      <w:szCs w:val="28"/>
    </w:rPr>
  </w:style>
  <w:style w:type="character" w:customStyle="1" w:styleId="51">
    <w:name w:val="标题 6 Char"/>
    <w:basedOn w:val="29"/>
    <w:link w:val="7"/>
    <w:qFormat/>
    <w:uiPriority w:val="0"/>
    <w:rPr>
      <w:rFonts w:ascii="Arial" w:hAnsi="Arial" w:eastAsia="黑体" w:cs="Times New Roman"/>
      <w:b/>
      <w:bCs/>
      <w:sz w:val="24"/>
      <w:szCs w:val="24"/>
    </w:rPr>
  </w:style>
  <w:style w:type="character" w:customStyle="1" w:styleId="52">
    <w:name w:val="标题 7 Char"/>
    <w:basedOn w:val="29"/>
    <w:link w:val="8"/>
    <w:qFormat/>
    <w:uiPriority w:val="0"/>
    <w:rPr>
      <w:rFonts w:ascii="Times New Roman" w:hAnsi="Times New Roman" w:eastAsia="宋体" w:cs="Times New Roman"/>
      <w:b/>
      <w:bCs/>
      <w:sz w:val="24"/>
      <w:szCs w:val="24"/>
    </w:rPr>
  </w:style>
  <w:style w:type="character" w:customStyle="1" w:styleId="53">
    <w:name w:val="标题 8 Char"/>
    <w:basedOn w:val="29"/>
    <w:link w:val="9"/>
    <w:qFormat/>
    <w:uiPriority w:val="0"/>
    <w:rPr>
      <w:rFonts w:ascii="Arial" w:hAnsi="Arial" w:eastAsia="黑体" w:cs="Times New Roman"/>
      <w:sz w:val="24"/>
      <w:szCs w:val="24"/>
    </w:rPr>
  </w:style>
  <w:style w:type="character" w:customStyle="1" w:styleId="54">
    <w:name w:val="标题 9 Char"/>
    <w:basedOn w:val="29"/>
    <w:link w:val="10"/>
    <w:qFormat/>
    <w:uiPriority w:val="0"/>
    <w:rPr>
      <w:rFonts w:ascii="Arial" w:hAnsi="Arial" w:eastAsia="黑体" w:cs="Times New Roman"/>
      <w:szCs w:val="21"/>
    </w:rPr>
  </w:style>
  <w:style w:type="character" w:customStyle="1" w:styleId="55">
    <w:name w:val="标题 1 字符"/>
    <w:basedOn w:val="29"/>
    <w:qFormat/>
    <w:uiPriority w:val="0"/>
    <w:rPr>
      <w:b/>
      <w:bCs/>
      <w:kern w:val="44"/>
      <w:sz w:val="44"/>
      <w:szCs w:val="44"/>
    </w:rPr>
  </w:style>
  <w:style w:type="character" w:customStyle="1" w:styleId="56">
    <w:name w:val="二级条标题 Char"/>
    <w:link w:val="57"/>
    <w:qFormat/>
    <w:uiPriority w:val="0"/>
    <w:rPr>
      <w:rFonts w:eastAsia="黑体" w:asciiTheme="minorHAnsi" w:hAnsiTheme="minorHAnsi" w:cstheme="minorBidi"/>
      <w:kern w:val="2"/>
      <w:sz w:val="21"/>
      <w:szCs w:val="22"/>
    </w:rPr>
  </w:style>
  <w:style w:type="paragraph" w:customStyle="1" w:styleId="57">
    <w:name w:val="二级条标题"/>
    <w:basedOn w:val="58"/>
    <w:next w:val="59"/>
    <w:link w:val="56"/>
    <w:qFormat/>
    <w:uiPriority w:val="0"/>
    <w:pPr>
      <w:numPr>
        <w:ilvl w:val="3"/>
      </w:numPr>
      <w:outlineLvl w:val="3"/>
    </w:pPr>
  </w:style>
  <w:style w:type="paragraph" w:customStyle="1" w:styleId="58">
    <w:name w:val="一级条标题"/>
    <w:next w:val="59"/>
    <w:link w:val="61"/>
    <w:qFormat/>
    <w:uiPriority w:val="0"/>
    <w:pPr>
      <w:numPr>
        <w:ilvl w:val="2"/>
        <w:numId w:val="1"/>
      </w:numPr>
      <w:outlineLvl w:val="2"/>
    </w:pPr>
    <w:rPr>
      <w:rFonts w:eastAsia="黑体" w:asciiTheme="minorHAnsi" w:hAnsiTheme="minorHAnsi" w:cstheme="minorBidi"/>
      <w:kern w:val="2"/>
      <w:sz w:val="21"/>
      <w:szCs w:val="22"/>
      <w:lang w:val="en-US" w:eastAsia="zh-CN" w:bidi="ar-SA"/>
    </w:rPr>
  </w:style>
  <w:style w:type="paragraph" w:customStyle="1" w:styleId="59">
    <w:name w:val="段"/>
    <w:link w:val="60"/>
    <w:qFormat/>
    <w:uiPriority w:val="0"/>
    <w:pPr>
      <w:autoSpaceDE w:val="0"/>
      <w:autoSpaceDN w:val="0"/>
      <w:ind w:firstLine="200" w:firstLineChars="200"/>
      <w:jc w:val="both"/>
    </w:pPr>
    <w:rPr>
      <w:rFonts w:ascii="宋体" w:hAnsiTheme="minorHAnsi" w:eastAsiaTheme="minorEastAsia" w:cstheme="minorBidi"/>
      <w:kern w:val="2"/>
      <w:sz w:val="21"/>
      <w:szCs w:val="22"/>
      <w:lang w:val="en-US" w:eastAsia="zh-CN" w:bidi="ar-SA"/>
    </w:rPr>
  </w:style>
  <w:style w:type="character" w:customStyle="1" w:styleId="60">
    <w:name w:val="段 Char"/>
    <w:link w:val="59"/>
    <w:qFormat/>
    <w:uiPriority w:val="0"/>
    <w:rPr>
      <w:rFonts w:ascii="宋体"/>
    </w:rPr>
  </w:style>
  <w:style w:type="character" w:customStyle="1" w:styleId="61">
    <w:name w:val="一级条标题 Char"/>
    <w:link w:val="58"/>
    <w:qFormat/>
    <w:uiPriority w:val="0"/>
    <w:rPr>
      <w:rFonts w:eastAsia="黑体" w:asciiTheme="minorHAnsi" w:hAnsiTheme="minorHAnsi" w:cstheme="minorBidi"/>
      <w:kern w:val="2"/>
      <w:sz w:val="21"/>
      <w:szCs w:val="22"/>
    </w:rPr>
  </w:style>
  <w:style w:type="character" w:customStyle="1" w:styleId="62">
    <w:name w:val="个人答复风格"/>
    <w:qFormat/>
    <w:uiPriority w:val="0"/>
    <w:rPr>
      <w:rFonts w:ascii="Arial" w:hAnsi="Arial" w:eastAsia="宋体" w:cs="Arial"/>
      <w:color w:val="auto"/>
      <w:sz w:val="20"/>
    </w:rPr>
  </w:style>
  <w:style w:type="character" w:customStyle="1" w:styleId="63">
    <w:name w:val="Paragraph Char"/>
    <w:link w:val="64"/>
    <w:qFormat/>
    <w:locked/>
    <w:uiPriority w:val="0"/>
    <w:rPr>
      <w:sz w:val="22"/>
      <w:szCs w:val="24"/>
    </w:rPr>
  </w:style>
  <w:style w:type="paragraph" w:customStyle="1" w:styleId="64">
    <w:name w:val="Paragraph"/>
    <w:basedOn w:val="1"/>
    <w:link w:val="63"/>
    <w:qFormat/>
    <w:uiPriority w:val="0"/>
    <w:pPr>
      <w:widowControl/>
      <w:tabs>
        <w:tab w:val="left" w:pos="851"/>
      </w:tabs>
      <w:spacing w:before="60" w:after="60"/>
      <w:ind w:left="851"/>
    </w:pPr>
    <w:rPr>
      <w:sz w:val="22"/>
      <w:szCs w:val="24"/>
    </w:rPr>
  </w:style>
  <w:style w:type="character" w:customStyle="1" w:styleId="65">
    <w:name w:val="批注框文本 Char"/>
    <w:link w:val="21"/>
    <w:qFormat/>
    <w:uiPriority w:val="0"/>
    <w:rPr>
      <w:rFonts w:ascii="Calibri" w:hAnsi="Calibri" w:eastAsia="宋体"/>
      <w:sz w:val="16"/>
      <w:szCs w:val="16"/>
    </w:rPr>
  </w:style>
  <w:style w:type="character" w:customStyle="1" w:styleId="66">
    <w:name w:val="正文文本 Char"/>
    <w:link w:val="15"/>
    <w:qFormat/>
    <w:uiPriority w:val="0"/>
    <w:rPr>
      <w:szCs w:val="24"/>
    </w:rPr>
  </w:style>
  <w:style w:type="character" w:customStyle="1" w:styleId="67">
    <w:name w:val="正文1 Char"/>
    <w:link w:val="68"/>
    <w:qFormat/>
    <w:uiPriority w:val="0"/>
    <w:rPr>
      <w:iCs/>
      <w:sz w:val="24"/>
      <w:szCs w:val="24"/>
    </w:rPr>
  </w:style>
  <w:style w:type="paragraph" w:customStyle="1" w:styleId="68">
    <w:name w:val="正文1"/>
    <w:basedOn w:val="1"/>
    <w:link w:val="67"/>
    <w:qFormat/>
    <w:uiPriority w:val="0"/>
    <w:pPr>
      <w:autoSpaceDE w:val="0"/>
      <w:autoSpaceDN w:val="0"/>
      <w:adjustRightInd w:val="0"/>
      <w:spacing w:line="360" w:lineRule="auto"/>
      <w:ind w:firstLine="480" w:firstLineChars="200"/>
      <w:jc w:val="left"/>
    </w:pPr>
    <w:rPr>
      <w:iCs/>
      <w:sz w:val="24"/>
      <w:szCs w:val="24"/>
    </w:rPr>
  </w:style>
  <w:style w:type="character" w:customStyle="1" w:styleId="69">
    <w:name w:val="eee"/>
    <w:basedOn w:val="29"/>
    <w:qFormat/>
    <w:uiPriority w:val="0"/>
  </w:style>
  <w:style w:type="character" w:customStyle="1" w:styleId="70">
    <w:name w:val="2级标题"/>
    <w:qFormat/>
    <w:uiPriority w:val="0"/>
    <w:rPr>
      <w:b/>
      <w:bCs/>
    </w:rPr>
  </w:style>
  <w:style w:type="character" w:customStyle="1" w:styleId="71">
    <w:name w:val="列表段落 字符"/>
    <w:link w:val="72"/>
    <w:qFormat/>
    <w:locked/>
    <w:uiPriority w:val="99"/>
    <w:rPr>
      <w:rFonts w:ascii="Calibri" w:hAnsi="Calibri"/>
    </w:rPr>
  </w:style>
  <w:style w:type="paragraph" w:customStyle="1" w:styleId="72">
    <w:name w:val="列表段落1"/>
    <w:basedOn w:val="1"/>
    <w:link w:val="71"/>
    <w:qFormat/>
    <w:uiPriority w:val="99"/>
    <w:pPr>
      <w:ind w:firstLine="420" w:firstLineChars="200"/>
    </w:pPr>
    <w:rPr>
      <w:rFonts w:ascii="Calibri" w:hAnsi="Calibri"/>
    </w:rPr>
  </w:style>
  <w:style w:type="character" w:customStyle="1" w:styleId="73">
    <w:name w:val="发布"/>
    <w:qFormat/>
    <w:uiPriority w:val="0"/>
    <w:rPr>
      <w:rFonts w:ascii="黑体" w:eastAsia="黑体"/>
      <w:spacing w:val="22"/>
      <w:w w:val="100"/>
      <w:position w:val="3"/>
      <w:sz w:val="28"/>
    </w:rPr>
  </w:style>
  <w:style w:type="character" w:customStyle="1" w:styleId="74">
    <w:name w:val="批注文字 字符"/>
    <w:qFormat/>
    <w:uiPriority w:val="0"/>
    <w:rPr>
      <w:kern w:val="2"/>
      <w:sz w:val="21"/>
      <w:szCs w:val="24"/>
    </w:rPr>
  </w:style>
  <w:style w:type="character" w:customStyle="1" w:styleId="75">
    <w:name w:val="页脚 Char"/>
    <w:link w:val="22"/>
    <w:qFormat/>
    <w:uiPriority w:val="99"/>
    <w:rPr>
      <w:rFonts w:eastAsia="宋体"/>
      <w:sz w:val="18"/>
      <w:szCs w:val="18"/>
    </w:rPr>
  </w:style>
  <w:style w:type="character" w:customStyle="1" w:styleId="76">
    <w:name w:val="页眉 Char"/>
    <w:link w:val="23"/>
    <w:qFormat/>
    <w:uiPriority w:val="0"/>
    <w:rPr>
      <w:rFonts w:asciiTheme="minorHAnsi" w:hAnsiTheme="minorHAnsi" w:eastAsiaTheme="minorEastAsia" w:cstheme="minorBidi"/>
      <w:kern w:val="2"/>
      <w:sz w:val="18"/>
      <w:szCs w:val="18"/>
    </w:rPr>
  </w:style>
  <w:style w:type="character" w:customStyle="1" w:styleId="77">
    <w:name w:val="个人撰写风格"/>
    <w:qFormat/>
    <w:uiPriority w:val="0"/>
    <w:rPr>
      <w:rFonts w:ascii="Arial" w:hAnsi="Arial" w:eastAsia="宋体" w:cs="Arial"/>
      <w:color w:val="auto"/>
      <w:sz w:val="20"/>
    </w:rPr>
  </w:style>
  <w:style w:type="character" w:customStyle="1" w:styleId="78">
    <w:name w:val="批注主题 Char"/>
    <w:link w:val="11"/>
    <w:qFormat/>
    <w:uiPriority w:val="0"/>
    <w:rPr>
      <w:b/>
      <w:bCs/>
      <w:szCs w:val="24"/>
    </w:rPr>
  </w:style>
  <w:style w:type="character" w:customStyle="1" w:styleId="79">
    <w:name w:val="批注文字 Char"/>
    <w:basedOn w:val="29"/>
    <w:link w:val="12"/>
    <w:semiHidden/>
    <w:qFormat/>
    <w:uiPriority w:val="99"/>
  </w:style>
  <w:style w:type="character" w:customStyle="1" w:styleId="80">
    <w:name w:val="未处理的提及1"/>
    <w:unhideWhenUsed/>
    <w:qFormat/>
    <w:uiPriority w:val="99"/>
    <w:rPr>
      <w:color w:val="808080"/>
      <w:shd w:val="clear" w:color="auto" w:fill="E6E6E6"/>
    </w:rPr>
  </w:style>
  <w:style w:type="character" w:customStyle="1" w:styleId="81">
    <w:name w:val="正文文本缩进 2 Char"/>
    <w:basedOn w:val="29"/>
    <w:link w:val="20"/>
    <w:qFormat/>
    <w:uiPriority w:val="0"/>
    <w:rPr>
      <w:rFonts w:ascii="Times New Roman" w:hAnsi="Times New Roman" w:eastAsia="宋体" w:cs="Times New Roman"/>
      <w:szCs w:val="24"/>
    </w:rPr>
  </w:style>
  <w:style w:type="character" w:customStyle="1" w:styleId="82">
    <w:name w:val="正文文本缩进 Char"/>
    <w:basedOn w:val="29"/>
    <w:link w:val="16"/>
    <w:qFormat/>
    <w:uiPriority w:val="0"/>
    <w:rPr>
      <w:rFonts w:ascii="Times New Roman" w:hAnsi="Times New Roman" w:eastAsia="宋体" w:cs="Times New Roman"/>
      <w:sz w:val="24"/>
      <w:szCs w:val="24"/>
    </w:rPr>
  </w:style>
  <w:style w:type="paragraph" w:customStyle="1" w:styleId="83">
    <w:name w:val="附录标识"/>
    <w:basedOn w:val="84"/>
    <w:qFormat/>
    <w:uiPriority w:val="0"/>
    <w:pPr>
      <w:numPr>
        <w:numId w:val="0"/>
      </w:numPr>
      <w:tabs>
        <w:tab w:val="left" w:pos="6405"/>
      </w:tabs>
      <w:spacing w:after="200"/>
    </w:pPr>
    <w:rPr>
      <w:sz w:val="21"/>
    </w:rPr>
  </w:style>
  <w:style w:type="paragraph" w:customStyle="1" w:styleId="84">
    <w:name w:val="前言、引言标题"/>
    <w:next w:val="1"/>
    <w:qFormat/>
    <w:uiPriority w:val="0"/>
    <w:pPr>
      <w:numPr>
        <w:ilvl w:val="0"/>
        <w:numId w:val="1"/>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85">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52"/>
      <w:lang w:val="en-US" w:eastAsia="zh-CN" w:bidi="ar-SA"/>
    </w:rPr>
  </w:style>
  <w:style w:type="character" w:customStyle="1" w:styleId="86">
    <w:name w:val="日期 Char"/>
    <w:basedOn w:val="29"/>
    <w:link w:val="19"/>
    <w:qFormat/>
    <w:uiPriority w:val="0"/>
    <w:rPr>
      <w:rFonts w:ascii="Times New Roman" w:hAnsi="Times New Roman" w:eastAsia="宋体" w:cs="Times New Roman"/>
      <w:sz w:val="28"/>
      <w:szCs w:val="24"/>
    </w:rPr>
  </w:style>
  <w:style w:type="character" w:customStyle="1" w:styleId="87">
    <w:name w:val="正文文本 字符1"/>
    <w:basedOn w:val="29"/>
    <w:semiHidden/>
    <w:qFormat/>
    <w:uiPriority w:val="99"/>
  </w:style>
  <w:style w:type="paragraph" w:customStyle="1" w:styleId="88">
    <w:name w:val="附录表标号"/>
    <w:basedOn w:val="1"/>
    <w:next w:val="59"/>
    <w:qFormat/>
    <w:uiPriority w:val="0"/>
    <w:pPr>
      <w:spacing w:line="14" w:lineRule="exact"/>
      <w:ind w:left="811" w:hanging="448"/>
      <w:jc w:val="center"/>
      <w:outlineLvl w:val="0"/>
    </w:pPr>
    <w:rPr>
      <w:rFonts w:ascii="Times New Roman" w:hAnsi="Times New Roman" w:eastAsia="宋体" w:cs="Times New Roman"/>
      <w:color w:val="FFFFFF"/>
      <w:szCs w:val="24"/>
    </w:rPr>
  </w:style>
  <w:style w:type="character" w:customStyle="1" w:styleId="89">
    <w:name w:val="文档结构图 Char"/>
    <w:basedOn w:val="29"/>
    <w:link w:val="14"/>
    <w:semiHidden/>
    <w:qFormat/>
    <w:uiPriority w:val="0"/>
    <w:rPr>
      <w:rFonts w:ascii="Times New Roman" w:hAnsi="Times New Roman" w:eastAsia="宋体" w:cs="Times New Roman"/>
      <w:szCs w:val="24"/>
      <w:shd w:val="clear" w:color="auto" w:fill="000080"/>
    </w:rPr>
  </w:style>
  <w:style w:type="paragraph" w:customStyle="1" w:styleId="90">
    <w:name w:val="附录一级条标题"/>
    <w:basedOn w:val="91"/>
    <w:next w:val="59"/>
    <w:qFormat/>
    <w:uiPriority w:val="0"/>
    <w:pPr>
      <w:autoSpaceDN w:val="0"/>
      <w:spacing w:before="0" w:beforeLines="0" w:after="0" w:afterLines="0"/>
      <w:outlineLvl w:val="2"/>
    </w:pPr>
  </w:style>
  <w:style w:type="paragraph" w:customStyle="1" w:styleId="91">
    <w:name w:val="附录章标题"/>
    <w:next w:val="59"/>
    <w:qFormat/>
    <w:uiPriority w:val="0"/>
    <w:pPr>
      <w:wordWrap w:val="0"/>
      <w:overflowPunct w:val="0"/>
      <w:autoSpaceDE w:val="0"/>
      <w:spacing w:before="50" w:beforeLines="50" w:after="50" w:afterLines="50"/>
      <w:jc w:val="both"/>
      <w:textAlignment w:val="baseline"/>
      <w:outlineLvl w:val="1"/>
    </w:pPr>
    <w:rPr>
      <w:rFonts w:ascii="黑体" w:hAnsi="Times New Roman" w:eastAsia="黑体" w:cs="Times New Roman"/>
      <w:kern w:val="21"/>
      <w:sz w:val="21"/>
      <w:lang w:val="en-US" w:eastAsia="zh-CN" w:bidi="ar-SA"/>
    </w:rPr>
  </w:style>
  <w:style w:type="character" w:customStyle="1" w:styleId="92">
    <w:name w:val="批注主题 字符1"/>
    <w:basedOn w:val="79"/>
    <w:semiHidden/>
    <w:qFormat/>
    <w:uiPriority w:val="99"/>
    <w:rPr>
      <w:b/>
      <w:bCs/>
    </w:rPr>
  </w:style>
  <w:style w:type="paragraph" w:customStyle="1" w:styleId="93">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94">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character" w:customStyle="1" w:styleId="95">
    <w:name w:val="纯文本 Char"/>
    <w:basedOn w:val="29"/>
    <w:link w:val="18"/>
    <w:qFormat/>
    <w:uiPriority w:val="0"/>
    <w:rPr>
      <w:rFonts w:ascii="宋体" w:hAnsi="Courier New" w:eastAsia="宋体" w:cs="Courier New"/>
      <w:szCs w:val="21"/>
    </w:rPr>
  </w:style>
  <w:style w:type="paragraph" w:customStyle="1" w:styleId="96">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character" w:customStyle="1" w:styleId="97">
    <w:name w:val="HTML 地址 Char"/>
    <w:basedOn w:val="29"/>
    <w:link w:val="17"/>
    <w:qFormat/>
    <w:uiPriority w:val="0"/>
    <w:rPr>
      <w:rFonts w:ascii="Times New Roman" w:hAnsi="Times New Roman" w:eastAsia="宋体" w:cs="Times New Roman"/>
      <w:i/>
      <w:iCs/>
      <w:szCs w:val="24"/>
    </w:rPr>
  </w:style>
  <w:style w:type="paragraph" w:customStyle="1" w:styleId="98">
    <w:name w:val="示例"/>
    <w:next w:val="59"/>
    <w:qFormat/>
    <w:uiPriority w:val="0"/>
    <w:pPr>
      <w:tabs>
        <w:tab w:val="left" w:pos="816"/>
      </w:tabs>
      <w:ind w:firstLine="419" w:firstLineChars="233"/>
      <w:jc w:val="both"/>
    </w:pPr>
    <w:rPr>
      <w:rFonts w:ascii="宋体" w:hAnsi="Times New Roman" w:eastAsia="宋体" w:cs="Times New Roman"/>
      <w:sz w:val="18"/>
      <w:lang w:val="en-US" w:eastAsia="zh-CN" w:bidi="ar-SA"/>
    </w:rPr>
  </w:style>
  <w:style w:type="paragraph" w:customStyle="1" w:styleId="99">
    <w:name w:val="封面标准号2"/>
    <w:basedOn w:val="96"/>
    <w:qFormat/>
    <w:uiPriority w:val="0"/>
    <w:pPr>
      <w:framePr w:w="9138" w:h="1244" w:hRule="exact" w:wrap="around" w:vAnchor="page" w:hAnchor="margin" w:y="2908"/>
      <w:adjustRightInd w:val="0"/>
      <w:spacing w:before="357" w:line="280" w:lineRule="exact"/>
    </w:pPr>
  </w:style>
  <w:style w:type="paragraph" w:customStyle="1" w:styleId="100">
    <w:name w:val="列项——（一级）"/>
    <w:qFormat/>
    <w:uiPriority w:val="0"/>
    <w:pPr>
      <w:widowControl w:val="0"/>
      <w:numPr>
        <w:ilvl w:val="0"/>
        <w:numId w:val="2"/>
      </w:numPr>
      <w:tabs>
        <w:tab w:val="left" w:pos="854"/>
        <w:tab w:val="clear" w:pos="1140"/>
      </w:tabs>
      <w:ind w:left="200" w:leftChars="200" w:hanging="200" w:hangingChars="200"/>
      <w:jc w:val="both"/>
    </w:pPr>
    <w:rPr>
      <w:rFonts w:ascii="宋体" w:hAnsi="Times New Roman" w:eastAsia="宋体" w:cs="Times New Roman"/>
      <w:sz w:val="21"/>
      <w:lang w:val="en-US" w:eastAsia="zh-CN" w:bidi="ar-SA"/>
    </w:rPr>
  </w:style>
  <w:style w:type="paragraph" w:customStyle="1" w:styleId="101">
    <w:name w:val="发布部门"/>
    <w:next w:val="59"/>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paragraph" w:customStyle="1" w:styleId="102">
    <w:name w:val="Char Char3"/>
    <w:basedOn w:val="1"/>
    <w:qFormat/>
    <w:uiPriority w:val="0"/>
    <w:pPr>
      <w:widowControl/>
      <w:spacing w:after="160" w:line="240" w:lineRule="exact"/>
      <w:jc w:val="left"/>
    </w:pPr>
    <w:rPr>
      <w:rFonts w:ascii="Verdana" w:hAnsi="Verdana" w:eastAsia="宋体" w:cs="Times New Roman"/>
      <w:kern w:val="0"/>
      <w:sz w:val="20"/>
      <w:szCs w:val="20"/>
      <w:lang w:eastAsia="en-US"/>
    </w:rPr>
  </w:style>
  <w:style w:type="character" w:customStyle="1" w:styleId="103">
    <w:name w:val="脚注文本 Char"/>
    <w:basedOn w:val="29"/>
    <w:link w:val="25"/>
    <w:semiHidden/>
    <w:qFormat/>
    <w:uiPriority w:val="0"/>
    <w:rPr>
      <w:rFonts w:ascii="Times New Roman" w:hAnsi="Times New Roman" w:eastAsia="宋体" w:cs="Times New Roman"/>
      <w:sz w:val="18"/>
      <w:szCs w:val="18"/>
    </w:rPr>
  </w:style>
  <w:style w:type="paragraph" w:customStyle="1" w:styleId="104">
    <w:name w:val="xl25"/>
    <w:basedOn w:val="1"/>
    <w:qFormat/>
    <w:uiPriority w:val="0"/>
    <w:pPr>
      <w:widowControl/>
      <w:spacing w:before="100" w:beforeAutospacing="1" w:after="100" w:afterAutospacing="1"/>
      <w:jc w:val="center"/>
      <w:textAlignment w:val="center"/>
    </w:pPr>
    <w:rPr>
      <w:rFonts w:ascii="宋体" w:hAnsi="宋体" w:eastAsia="宋体" w:cs="Times New Roman"/>
      <w:kern w:val="0"/>
      <w:sz w:val="24"/>
      <w:szCs w:val="24"/>
    </w:rPr>
  </w:style>
  <w:style w:type="paragraph" w:customStyle="1" w:styleId="105">
    <w:name w:val="附录表标题"/>
    <w:next w:val="59"/>
    <w:qFormat/>
    <w:uiPriority w:val="0"/>
    <w:pPr>
      <w:numPr>
        <w:ilvl w:val="0"/>
        <w:numId w:val="3"/>
      </w:numPr>
      <w:jc w:val="center"/>
      <w:textAlignment w:val="baseline"/>
    </w:pPr>
    <w:rPr>
      <w:rFonts w:ascii="黑体" w:hAnsi="Times New Roman" w:eastAsia="黑体" w:cs="Times New Roman"/>
      <w:kern w:val="21"/>
      <w:sz w:val="21"/>
      <w:lang w:val="en-US" w:eastAsia="zh-CN" w:bidi="ar-SA"/>
    </w:rPr>
  </w:style>
  <w:style w:type="paragraph" w:customStyle="1" w:styleId="106">
    <w:name w:val="注：（正文）"/>
    <w:basedOn w:val="107"/>
    <w:next w:val="59"/>
    <w:qFormat/>
    <w:uiPriority w:val="0"/>
    <w:pPr>
      <w:tabs>
        <w:tab w:val="left" w:pos="1140"/>
      </w:tabs>
    </w:pPr>
    <w:rPr>
      <w:szCs w:val="18"/>
    </w:rPr>
  </w:style>
  <w:style w:type="paragraph" w:customStyle="1" w:styleId="107">
    <w:name w:val="注："/>
    <w:next w:val="59"/>
    <w:qFormat/>
    <w:uiPriority w:val="0"/>
    <w:pPr>
      <w:widowControl w:val="0"/>
      <w:autoSpaceDE w:val="0"/>
      <w:autoSpaceDN w:val="0"/>
      <w:ind w:left="840" w:hanging="420"/>
      <w:jc w:val="both"/>
    </w:pPr>
    <w:rPr>
      <w:rFonts w:ascii="宋体" w:hAnsi="Times New Roman" w:eastAsia="宋体" w:cs="Times New Roman"/>
      <w:sz w:val="18"/>
      <w:lang w:val="en-US" w:eastAsia="zh-CN" w:bidi="ar-SA"/>
    </w:rPr>
  </w:style>
  <w:style w:type="paragraph" w:customStyle="1" w:styleId="108">
    <w:name w:val="实施日期"/>
    <w:basedOn w:val="94"/>
    <w:qFormat/>
    <w:uiPriority w:val="0"/>
    <w:pPr>
      <w:framePr w:hSpace="0" w:xAlign="right"/>
      <w:numPr>
        <w:ilvl w:val="4"/>
        <w:numId w:val="1"/>
      </w:numPr>
      <w:jc w:val="right"/>
    </w:pPr>
  </w:style>
  <w:style w:type="character" w:customStyle="1" w:styleId="109">
    <w:name w:val="页眉 字符1"/>
    <w:basedOn w:val="29"/>
    <w:semiHidden/>
    <w:qFormat/>
    <w:uiPriority w:val="99"/>
    <w:rPr>
      <w:sz w:val="18"/>
      <w:szCs w:val="18"/>
    </w:rPr>
  </w:style>
  <w:style w:type="character" w:customStyle="1" w:styleId="110">
    <w:name w:val="批注框文本 字符1"/>
    <w:basedOn w:val="29"/>
    <w:semiHidden/>
    <w:qFormat/>
    <w:uiPriority w:val="99"/>
    <w:rPr>
      <w:sz w:val="18"/>
      <w:szCs w:val="18"/>
    </w:rPr>
  </w:style>
  <w:style w:type="character" w:customStyle="1" w:styleId="111">
    <w:name w:val="页脚 字符1"/>
    <w:basedOn w:val="29"/>
    <w:semiHidden/>
    <w:qFormat/>
    <w:uiPriority w:val="99"/>
    <w:rPr>
      <w:sz w:val="18"/>
      <w:szCs w:val="18"/>
    </w:rPr>
  </w:style>
  <w:style w:type="paragraph" w:customStyle="1" w:styleId="112">
    <w:name w:val="默认段落字体 Para Char Char Char Char Char Char Char"/>
    <w:basedOn w:val="14"/>
    <w:qFormat/>
    <w:uiPriority w:val="0"/>
    <w:pPr>
      <w:adjustRightInd w:val="0"/>
      <w:spacing w:line="436" w:lineRule="exact"/>
      <w:ind w:left="357"/>
      <w:jc w:val="left"/>
      <w:outlineLvl w:val="3"/>
    </w:pPr>
    <w:rPr>
      <w:rFonts w:ascii="Tahoma" w:hAnsi="Tahoma"/>
      <w:b/>
      <w:sz w:val="24"/>
    </w:rPr>
  </w:style>
  <w:style w:type="character" w:customStyle="1" w:styleId="113">
    <w:name w:val="HTML 预设格式 Char"/>
    <w:basedOn w:val="29"/>
    <w:link w:val="26"/>
    <w:qFormat/>
    <w:uiPriority w:val="0"/>
    <w:rPr>
      <w:rFonts w:ascii="Courier New" w:hAnsi="Courier New" w:eastAsia="宋体" w:cs="Courier New"/>
      <w:sz w:val="20"/>
      <w:szCs w:val="20"/>
    </w:rPr>
  </w:style>
  <w:style w:type="character" w:customStyle="1" w:styleId="114">
    <w:name w:val="标题 Char"/>
    <w:basedOn w:val="29"/>
    <w:link w:val="28"/>
    <w:qFormat/>
    <w:uiPriority w:val="0"/>
    <w:rPr>
      <w:rFonts w:ascii="Arial" w:hAnsi="Arial" w:eastAsia="宋体" w:cs="Arial"/>
      <w:b/>
      <w:bCs/>
      <w:sz w:val="32"/>
      <w:szCs w:val="32"/>
    </w:rPr>
  </w:style>
  <w:style w:type="paragraph" w:customStyle="1" w:styleId="115">
    <w:name w:val="四级条标题"/>
    <w:basedOn w:val="116"/>
    <w:next w:val="59"/>
    <w:qFormat/>
    <w:uiPriority w:val="0"/>
    <w:pPr>
      <w:outlineLvl w:val="5"/>
    </w:pPr>
  </w:style>
  <w:style w:type="paragraph" w:customStyle="1" w:styleId="116">
    <w:name w:val="三级条标题"/>
    <w:basedOn w:val="57"/>
    <w:next w:val="59"/>
    <w:qFormat/>
    <w:uiPriority w:val="0"/>
    <w:pPr>
      <w:numPr>
        <w:ilvl w:val="0"/>
        <w:numId w:val="0"/>
      </w:numPr>
      <w:outlineLvl w:val="4"/>
    </w:pPr>
  </w:style>
  <w:style w:type="paragraph" w:customStyle="1" w:styleId="117">
    <w:name w:val="目次、标准名称标题"/>
    <w:basedOn w:val="84"/>
    <w:next w:val="59"/>
    <w:qFormat/>
    <w:uiPriority w:val="0"/>
    <w:pPr>
      <w:numPr>
        <w:numId w:val="0"/>
      </w:numPr>
      <w:spacing w:line="460" w:lineRule="exact"/>
    </w:pPr>
  </w:style>
  <w:style w:type="paragraph" w:customStyle="1" w:styleId="118">
    <w:name w:val="正文表标题"/>
    <w:next w:val="59"/>
    <w:qFormat/>
    <w:uiPriority w:val="0"/>
    <w:pPr>
      <w:numPr>
        <w:ilvl w:val="0"/>
        <w:numId w:val="4"/>
      </w:numPr>
      <w:jc w:val="center"/>
    </w:pPr>
    <w:rPr>
      <w:rFonts w:ascii="黑体" w:hAnsi="Times New Roman" w:eastAsia="黑体" w:cs="Times New Roman"/>
      <w:sz w:val="21"/>
      <w:lang w:val="en-US" w:eastAsia="zh-CN" w:bidi="ar-SA"/>
    </w:rPr>
  </w:style>
  <w:style w:type="paragraph" w:customStyle="1" w:styleId="119">
    <w:name w:val="封面正文"/>
    <w:qFormat/>
    <w:uiPriority w:val="0"/>
    <w:pPr>
      <w:jc w:val="both"/>
    </w:pPr>
    <w:rPr>
      <w:rFonts w:ascii="Times New Roman" w:hAnsi="Times New Roman" w:eastAsia="宋体" w:cs="Times New Roman"/>
      <w:lang w:val="en-US" w:eastAsia="zh-CN" w:bidi="ar-SA"/>
    </w:rPr>
  </w:style>
  <w:style w:type="paragraph" w:customStyle="1" w:styleId="120">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121">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2">
    <w:name w:val="标准书眉一"/>
    <w:qFormat/>
    <w:uiPriority w:val="0"/>
    <w:pPr>
      <w:jc w:val="both"/>
    </w:pPr>
    <w:rPr>
      <w:rFonts w:ascii="Times New Roman" w:hAnsi="Times New Roman" w:eastAsia="宋体" w:cs="Times New Roman"/>
      <w:lang w:val="en-US" w:eastAsia="zh-CN" w:bidi="ar-SA"/>
    </w:rPr>
  </w:style>
  <w:style w:type="paragraph" w:customStyle="1" w:styleId="123">
    <w:name w:val="正文图标题"/>
    <w:next w:val="59"/>
    <w:qFormat/>
    <w:uiPriority w:val="0"/>
    <w:pPr>
      <w:jc w:val="center"/>
    </w:pPr>
    <w:rPr>
      <w:rFonts w:ascii="黑体" w:hAnsi="Times New Roman" w:eastAsia="黑体" w:cs="Times New Roman"/>
      <w:sz w:val="21"/>
      <w:lang w:val="en-US" w:eastAsia="zh-CN" w:bidi="ar-SA"/>
    </w:rPr>
  </w:style>
  <w:style w:type="paragraph" w:customStyle="1" w:styleId="124">
    <w:name w:val="条文脚注"/>
    <w:basedOn w:val="25"/>
    <w:qFormat/>
    <w:uiPriority w:val="0"/>
    <w:pPr>
      <w:ind w:left="780" w:leftChars="200" w:hanging="360" w:hangingChars="200"/>
      <w:jc w:val="both"/>
    </w:pPr>
    <w:rPr>
      <w:rFonts w:ascii="宋体"/>
    </w:rPr>
  </w:style>
  <w:style w:type="paragraph" w:customStyle="1" w:styleId="125">
    <w:name w:val="列出段落1"/>
    <w:basedOn w:val="1"/>
    <w:qFormat/>
    <w:uiPriority w:val="0"/>
    <w:pPr>
      <w:widowControl/>
      <w:adjustRightInd w:val="0"/>
      <w:snapToGrid w:val="0"/>
      <w:spacing w:after="200"/>
      <w:ind w:firstLine="420" w:firstLineChars="200"/>
      <w:jc w:val="left"/>
    </w:pPr>
    <w:rPr>
      <w:rFonts w:ascii="Tahoma" w:hAnsi="Tahoma" w:eastAsia="微软雅黑" w:cs="Times New Roman"/>
      <w:kern w:val="0"/>
      <w:sz w:val="22"/>
    </w:rPr>
  </w:style>
  <w:style w:type="paragraph" w:customStyle="1" w:styleId="126">
    <w:name w:val="编号列项（三级）"/>
    <w:qFormat/>
    <w:uiPriority w:val="0"/>
    <w:pPr>
      <w:ind w:left="800" w:leftChars="600" w:hanging="200" w:hangingChars="200"/>
    </w:pPr>
    <w:rPr>
      <w:rFonts w:ascii="宋体" w:hAnsi="Times New Roman" w:eastAsia="宋体" w:cs="Times New Roman"/>
      <w:sz w:val="21"/>
      <w:lang w:val="en-US" w:eastAsia="zh-CN" w:bidi="ar-SA"/>
    </w:rPr>
  </w:style>
  <w:style w:type="paragraph" w:customStyle="1" w:styleId="127">
    <w:name w:val="CM53"/>
    <w:basedOn w:val="128"/>
    <w:next w:val="128"/>
    <w:qFormat/>
    <w:uiPriority w:val="0"/>
    <w:rPr>
      <w:rFonts w:ascii="Arial" w:hAnsi="Arial" w:eastAsia="宋体" w:cs="Arial"/>
      <w:color w:val="auto"/>
    </w:rPr>
  </w:style>
  <w:style w:type="paragraph" w:customStyle="1" w:styleId="128">
    <w:name w:val="Default"/>
    <w:qFormat/>
    <w:uiPriority w:val="0"/>
    <w:pPr>
      <w:widowControl w:val="0"/>
      <w:autoSpaceDE w:val="0"/>
      <w:autoSpaceDN w:val="0"/>
      <w:adjustRightInd w:val="0"/>
    </w:pPr>
    <w:rPr>
      <w:rFonts w:ascii=".... ..." w:hAnsi="Calibri" w:eastAsia=".... ..." w:cs=".... ..."/>
      <w:color w:val="000000"/>
      <w:sz w:val="24"/>
      <w:szCs w:val="24"/>
      <w:lang w:val="en-US" w:eastAsia="zh-CN" w:bidi="ar-SA"/>
    </w:rPr>
  </w:style>
  <w:style w:type="paragraph" w:customStyle="1" w:styleId="129">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130">
    <w:name w:val="注×："/>
    <w:qFormat/>
    <w:uiPriority w:val="0"/>
    <w:pPr>
      <w:widowControl w:val="0"/>
      <w:tabs>
        <w:tab w:val="left" w:pos="630"/>
      </w:tabs>
      <w:autoSpaceDE w:val="0"/>
      <w:autoSpaceDN w:val="0"/>
      <w:ind w:left="900" w:hanging="500"/>
      <w:jc w:val="both"/>
    </w:pPr>
    <w:rPr>
      <w:rFonts w:ascii="宋体" w:hAnsi="Times New Roman" w:eastAsia="宋体" w:cs="Times New Roman"/>
      <w:sz w:val="18"/>
      <w:lang w:val="en-US" w:eastAsia="zh-CN" w:bidi="ar-SA"/>
    </w:rPr>
  </w:style>
  <w:style w:type="paragraph" w:customStyle="1" w:styleId="131">
    <w:name w:val="列项◆（三级）"/>
    <w:qFormat/>
    <w:uiPriority w:val="0"/>
    <w:pPr>
      <w:numPr>
        <w:ilvl w:val="0"/>
        <w:numId w:val="6"/>
      </w:numPr>
      <w:ind w:left="800" w:leftChars="600" w:hanging="200" w:hangingChars="200"/>
    </w:pPr>
    <w:rPr>
      <w:rFonts w:ascii="宋体" w:hAnsi="Times New Roman" w:eastAsia="宋体" w:cs="Times New Roman"/>
      <w:sz w:val="21"/>
      <w:lang w:val="en-US" w:eastAsia="zh-CN" w:bidi="ar-SA"/>
    </w:rPr>
  </w:style>
  <w:style w:type="paragraph" w:customStyle="1" w:styleId="132">
    <w:name w:val="标题 91"/>
    <w:basedOn w:val="1"/>
    <w:qFormat/>
    <w:uiPriority w:val="0"/>
    <w:pPr>
      <w:jc w:val="left"/>
    </w:pPr>
    <w:rPr>
      <w:rFonts w:ascii="宋体" w:hAnsi="宋体" w:eastAsia="宋体" w:cs="Times New Roman"/>
      <w:kern w:val="0"/>
      <w:sz w:val="22"/>
      <w:lang w:eastAsia="en-US"/>
    </w:rPr>
  </w:style>
  <w:style w:type="paragraph" w:customStyle="1" w:styleId="133">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134">
    <w:name w:val="附录五级条标题"/>
    <w:basedOn w:val="135"/>
    <w:next w:val="59"/>
    <w:qFormat/>
    <w:uiPriority w:val="0"/>
    <w:pPr>
      <w:outlineLvl w:val="6"/>
    </w:pPr>
  </w:style>
  <w:style w:type="paragraph" w:customStyle="1" w:styleId="135">
    <w:name w:val="附录四级条标题"/>
    <w:basedOn w:val="136"/>
    <w:next w:val="59"/>
    <w:qFormat/>
    <w:uiPriority w:val="0"/>
    <w:pPr>
      <w:outlineLvl w:val="5"/>
    </w:pPr>
  </w:style>
  <w:style w:type="paragraph" w:customStyle="1" w:styleId="136">
    <w:name w:val="附录三级条标题"/>
    <w:basedOn w:val="137"/>
    <w:next w:val="59"/>
    <w:qFormat/>
    <w:uiPriority w:val="0"/>
    <w:pPr>
      <w:outlineLvl w:val="4"/>
    </w:pPr>
  </w:style>
  <w:style w:type="paragraph" w:customStyle="1" w:styleId="137">
    <w:name w:val="附录二级条标题"/>
    <w:basedOn w:val="90"/>
    <w:next w:val="59"/>
    <w:qFormat/>
    <w:uiPriority w:val="0"/>
    <w:pPr>
      <w:outlineLvl w:val="3"/>
    </w:pPr>
  </w:style>
  <w:style w:type="paragraph" w:customStyle="1" w:styleId="138">
    <w:name w:val="章标题"/>
    <w:next w:val="59"/>
    <w:qFormat/>
    <w:uiPriority w:val="0"/>
    <w:pPr>
      <w:spacing w:before="50" w:beforeLines="50" w:after="50" w:afterLines="50"/>
      <w:jc w:val="both"/>
      <w:outlineLvl w:val="1"/>
    </w:pPr>
    <w:rPr>
      <w:rFonts w:ascii="黑体" w:hAnsi="Times New Roman" w:eastAsia="黑体" w:cs="Times New Roman"/>
      <w:sz w:val="21"/>
      <w:lang w:val="en-US" w:eastAsia="zh-CN" w:bidi="ar-SA"/>
    </w:rPr>
  </w:style>
  <w:style w:type="paragraph" w:customStyle="1" w:styleId="139">
    <w:name w:val="参考文献、索引标题"/>
    <w:basedOn w:val="84"/>
    <w:next w:val="1"/>
    <w:qFormat/>
    <w:uiPriority w:val="0"/>
    <w:pPr>
      <w:numPr>
        <w:numId w:val="0"/>
      </w:numPr>
      <w:spacing w:after="200"/>
    </w:pPr>
    <w:rPr>
      <w:sz w:val="21"/>
    </w:rPr>
  </w:style>
  <w:style w:type="paragraph" w:customStyle="1" w:styleId="140">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41">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142">
    <w:name w:val="标准书眉_偶数页"/>
    <w:basedOn w:val="143"/>
    <w:next w:val="1"/>
    <w:qFormat/>
    <w:uiPriority w:val="0"/>
    <w:pPr>
      <w:tabs>
        <w:tab w:val="center" w:pos="4154"/>
        <w:tab w:val="right" w:pos="8306"/>
      </w:tabs>
      <w:jc w:val="left"/>
    </w:pPr>
  </w:style>
  <w:style w:type="paragraph" w:customStyle="1" w:styleId="143">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144">
    <w:name w:val="数字编号列项（二级）"/>
    <w:qFormat/>
    <w:uiPriority w:val="0"/>
    <w:pPr>
      <w:numPr>
        <w:ilvl w:val="1"/>
        <w:numId w:val="5"/>
      </w:numPr>
      <w:jc w:val="both"/>
    </w:pPr>
    <w:rPr>
      <w:rFonts w:ascii="宋体" w:hAnsi="Times New Roman" w:eastAsia="宋体" w:cs="Times New Roman"/>
      <w:sz w:val="21"/>
      <w:lang w:val="en-US" w:eastAsia="zh-CN" w:bidi="ar-SA"/>
    </w:rPr>
  </w:style>
  <w:style w:type="paragraph" w:customStyle="1" w:styleId="145">
    <w:name w:val="修订1"/>
    <w:unhideWhenUsed/>
    <w:qFormat/>
    <w:uiPriority w:val="99"/>
    <w:rPr>
      <w:rFonts w:ascii="Times New Roman" w:hAnsi="Times New Roman" w:eastAsia="宋体" w:cs="Times New Roman"/>
      <w:kern w:val="2"/>
      <w:sz w:val="21"/>
      <w:szCs w:val="24"/>
      <w:lang w:val="en-US" w:eastAsia="zh-CN" w:bidi="ar-SA"/>
    </w:rPr>
  </w:style>
  <w:style w:type="paragraph" w:customStyle="1" w:styleId="146">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147">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8">
    <w:name w:val="封面标准代替信息"/>
    <w:basedOn w:val="99"/>
    <w:qFormat/>
    <w:uiPriority w:val="0"/>
    <w:pPr>
      <w:spacing w:before="57"/>
    </w:pPr>
    <w:rPr>
      <w:rFonts w:ascii="宋体"/>
      <w:sz w:val="21"/>
    </w:rPr>
  </w:style>
  <w:style w:type="paragraph" w:customStyle="1" w:styleId="149">
    <w:name w:val="表标题"/>
    <w:basedOn w:val="1"/>
    <w:qFormat/>
    <w:uiPriority w:val="99"/>
    <w:pPr>
      <w:spacing w:beforeLines="100" w:afterLines="100" w:line="480" w:lineRule="auto"/>
      <w:ind w:firstLine="200" w:firstLineChars="200"/>
      <w:jc w:val="center"/>
    </w:pPr>
    <w:rPr>
      <w:rFonts w:ascii="Times New Roman" w:hAnsi="Times New Roman" w:eastAsia="宋体" w:cs="Times New Roman"/>
      <w:b/>
      <w:sz w:val="28"/>
      <w:szCs w:val="24"/>
    </w:rPr>
  </w:style>
  <w:style w:type="paragraph" w:customStyle="1" w:styleId="150">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51">
    <w:name w:val="图表脚注"/>
    <w:next w:val="59"/>
    <w:qFormat/>
    <w:uiPriority w:val="0"/>
    <w:pPr>
      <w:numPr>
        <w:ilvl w:val="5"/>
        <w:numId w:val="1"/>
      </w:numPr>
      <w:jc w:val="both"/>
    </w:pPr>
    <w:rPr>
      <w:rFonts w:ascii="宋体" w:hAnsi="Times New Roman" w:eastAsia="宋体" w:cs="Times New Roman"/>
      <w:sz w:val="18"/>
      <w:lang w:val="en-US" w:eastAsia="zh-CN" w:bidi="ar-SA"/>
    </w:rPr>
  </w:style>
  <w:style w:type="paragraph" w:customStyle="1" w:styleId="152">
    <w:name w:val="正文2"/>
    <w:qFormat/>
    <w:uiPriority w:val="0"/>
    <w:pPr>
      <w:jc w:val="both"/>
    </w:pPr>
    <w:rPr>
      <w:rFonts w:ascii="Times New Roman" w:hAnsi="Times New Roman" w:eastAsia="宋体" w:cs="Times New Roman"/>
      <w:kern w:val="2"/>
      <w:sz w:val="21"/>
      <w:szCs w:val="21"/>
      <w:lang w:val="en-US" w:eastAsia="zh-CN" w:bidi="ar-SA"/>
    </w:rPr>
  </w:style>
  <w:style w:type="paragraph" w:customStyle="1" w:styleId="153">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154">
    <w:name w:val="附录图标题"/>
    <w:next w:val="59"/>
    <w:qFormat/>
    <w:uiPriority w:val="0"/>
    <w:pPr>
      <w:numPr>
        <w:ilvl w:val="0"/>
        <w:numId w:val="7"/>
      </w:numPr>
      <w:jc w:val="center"/>
    </w:pPr>
    <w:rPr>
      <w:rFonts w:ascii="黑体" w:hAnsi="Times New Roman" w:eastAsia="黑体" w:cs="Times New Roman"/>
      <w:sz w:val="21"/>
      <w:lang w:val="en-US" w:eastAsia="zh-CN" w:bidi="ar-SA"/>
    </w:rPr>
  </w:style>
  <w:style w:type="paragraph" w:customStyle="1" w:styleId="155">
    <w:name w:val="列项●（二级）"/>
    <w:qFormat/>
    <w:uiPriority w:val="0"/>
    <w:pPr>
      <w:numPr>
        <w:ilvl w:val="0"/>
        <w:numId w:val="8"/>
      </w:numPr>
      <w:tabs>
        <w:tab w:val="left" w:pos="840"/>
      </w:tabs>
      <w:ind w:left="600" w:leftChars="400" w:hanging="200" w:hangingChars="200"/>
      <w:jc w:val="both"/>
    </w:pPr>
    <w:rPr>
      <w:rFonts w:ascii="宋体" w:hAnsi="Times New Roman" w:eastAsia="宋体" w:cs="Times New Roman"/>
      <w:sz w:val="21"/>
      <w:lang w:val="en-US" w:eastAsia="zh-CN" w:bidi="ar-SA"/>
    </w:rPr>
  </w:style>
  <w:style w:type="paragraph" w:customStyle="1" w:styleId="156">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7">
    <w:name w:val="其他发布部门"/>
    <w:basedOn w:val="101"/>
    <w:qFormat/>
    <w:uiPriority w:val="0"/>
    <w:pPr>
      <w:spacing w:line="0" w:lineRule="atLeast"/>
    </w:pPr>
    <w:rPr>
      <w:rFonts w:ascii="黑体" w:eastAsia="黑体"/>
      <w:b w:val="0"/>
    </w:rPr>
  </w:style>
  <w:style w:type="paragraph" w:customStyle="1" w:styleId="158">
    <w:name w:val="五级条标题"/>
    <w:basedOn w:val="115"/>
    <w:next w:val="59"/>
    <w:qFormat/>
    <w:uiPriority w:val="0"/>
    <w:pPr>
      <w:outlineLvl w:val="6"/>
    </w:pPr>
  </w:style>
  <w:style w:type="paragraph" w:customStyle="1" w:styleId="159">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160">
    <w:name w:val="列表段落2"/>
    <w:basedOn w:val="1"/>
    <w:qFormat/>
    <w:uiPriority w:val="99"/>
    <w:pPr>
      <w:ind w:firstLine="420" w:firstLineChars="200"/>
    </w:pPr>
  </w:style>
  <w:style w:type="character" w:customStyle="1" w:styleId="161">
    <w:name w:val="c-icon27"/>
    <w:basedOn w:val="29"/>
    <w:qFormat/>
    <w:uiPriority w:val="0"/>
  </w:style>
  <w:style w:type="character" w:customStyle="1" w:styleId="162">
    <w:name w:val="hover19"/>
    <w:basedOn w:val="29"/>
    <w:qFormat/>
    <w:uiPriority w:val="0"/>
  </w:style>
  <w:style w:type="character" w:customStyle="1" w:styleId="163">
    <w:name w:val="hover20"/>
    <w:basedOn w:val="29"/>
    <w:qFormat/>
    <w:uiPriority w:val="0"/>
    <w:rPr>
      <w:color w:val="315EFB"/>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9" Type="http://schemas.openxmlformats.org/officeDocument/2006/relationships/fontTable" Target="fontTable.xml"/><Relationship Id="rId28" Type="http://schemas.openxmlformats.org/officeDocument/2006/relationships/customXml" Target="../customXml/item2.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5.emf"/><Relationship Id="rId24" Type="http://schemas.openxmlformats.org/officeDocument/2006/relationships/oleObject" Target="embeddings/oleObject5.bin"/><Relationship Id="rId23" Type="http://schemas.openxmlformats.org/officeDocument/2006/relationships/image" Target="media/image4.emf"/><Relationship Id="rId22" Type="http://schemas.openxmlformats.org/officeDocument/2006/relationships/oleObject" Target="embeddings/oleObject4.bin"/><Relationship Id="rId21" Type="http://schemas.openxmlformats.org/officeDocument/2006/relationships/image" Target="media/image3.emf"/><Relationship Id="rId20" Type="http://schemas.openxmlformats.org/officeDocument/2006/relationships/oleObject" Target="embeddings/oleObject3.bin"/><Relationship Id="rId2" Type="http://schemas.openxmlformats.org/officeDocument/2006/relationships/settings" Target="settings.xml"/><Relationship Id="rId19" Type="http://schemas.openxmlformats.org/officeDocument/2006/relationships/image" Target="media/image2.emf"/><Relationship Id="rId18" Type="http://schemas.openxmlformats.org/officeDocument/2006/relationships/oleObject" Target="embeddings/oleObject2.bin"/><Relationship Id="rId17" Type="http://schemas.openxmlformats.org/officeDocument/2006/relationships/image" Target="media/image1.emf"/><Relationship Id="rId16" Type="http://schemas.openxmlformats.org/officeDocument/2006/relationships/oleObject" Target="embeddings/oleObject1.bin"/><Relationship Id="rId15" Type="http://schemas.openxmlformats.org/officeDocument/2006/relationships/theme" Target="theme/theme1.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1FB451E-BE2C-4506-B951-040868C3C6B0}">
  <ds:schemaRefs/>
</ds:datastoreItem>
</file>

<file path=docProps/app.xml><?xml version="1.0" encoding="utf-8"?>
<Properties xmlns="http://schemas.openxmlformats.org/officeDocument/2006/extended-properties" xmlns:vt="http://schemas.openxmlformats.org/officeDocument/2006/docPropsVTypes">
  <Template>Normal</Template>
  <Company>http://www.deepbbs.org</Company>
  <Pages>34</Pages>
  <Words>2375</Words>
  <Characters>13542</Characters>
  <Lines>112</Lines>
  <Paragraphs>31</Paragraphs>
  <ScaleCrop>false</ScaleCrop>
  <LinksUpToDate>false</LinksUpToDate>
  <CharactersWithSpaces>15886</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2020-10-10T10:27:00Z</dcterms:created>
  <dc:creator>pc</dc:creator>
  <cp:lastModifiedBy>杨婕</cp:lastModifiedBy>
  <cp:lastPrinted>2020-11-17T11:32:00Z</cp:lastPrinted>
  <dcterms:modified xsi:type="dcterms:W3CDTF">2020-11-26T06:15:08Z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